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3C49D"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MINISTARSTVO ZNANOSTI, OBRAZOVANJA I SPORTA</w:t>
      </w:r>
    </w:p>
    <w:p w14:paraId="55AA72EE"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Na temelju članka 22., stavka 8. </w:t>
      </w:r>
      <w:hyperlink r:id="rId4" w:history="1">
        <w:r w:rsidRPr="00AB7263">
          <w:rPr>
            <w:rFonts w:ascii="Open Sans" w:eastAsia="Times New Roman" w:hAnsi="Open Sans" w:cs="Open Sans"/>
            <w:b/>
            <w:bCs/>
            <w:color w:val="497FD7"/>
            <w:sz w:val="21"/>
            <w:szCs w:val="21"/>
            <w:u w:val="single"/>
            <w:lang w:eastAsia="hr-HR"/>
          </w:rPr>
          <w:t>Zakona o odgoju i obrazovanju u osnovnoj i srednjoj školi</w:t>
        </w:r>
      </w:hyperlink>
      <w:r w:rsidRPr="00AB7263">
        <w:rPr>
          <w:rFonts w:ascii="Open Sans" w:eastAsia="Times New Roman" w:hAnsi="Open Sans" w:cs="Open Sans"/>
          <w:color w:val="414145"/>
          <w:sz w:val="21"/>
          <w:szCs w:val="21"/>
          <w:lang w:eastAsia="hr-HR"/>
        </w:rPr>
        <w:t> (»Narodne novine«, br. 87/2008., 86/2009., 92/2010., 105/2010., 90/2011., 16/2012., 86/2012., 94/2013. i 152/2014.) ministar znanosti, obrazovanja i sporta donosi</w:t>
      </w:r>
    </w:p>
    <w:p w14:paraId="070801A3"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w:t>
      </w:r>
    </w:p>
    <w:p w14:paraId="59337047" w14:textId="77777777" w:rsidR="00AB7263" w:rsidRPr="00AB7263" w:rsidRDefault="00AB7263" w:rsidP="00AB7263">
      <w:pPr>
        <w:spacing w:before="240" w:after="240" w:line="336" w:lineRule="atLeast"/>
        <w:jc w:val="center"/>
        <w:outlineLvl w:val="0"/>
        <w:rPr>
          <w:rFonts w:ascii="Open Sans" w:eastAsia="Times New Roman" w:hAnsi="Open Sans" w:cs="Open Sans"/>
          <w:b/>
          <w:bCs/>
          <w:color w:val="414145"/>
          <w:kern w:val="36"/>
          <w:sz w:val="48"/>
          <w:szCs w:val="48"/>
          <w:lang w:eastAsia="hr-HR"/>
        </w:rPr>
      </w:pPr>
      <w:r w:rsidRPr="00AB7263">
        <w:rPr>
          <w:rFonts w:ascii="Open Sans" w:eastAsia="Times New Roman" w:hAnsi="Open Sans" w:cs="Open Sans"/>
          <w:b/>
          <w:bCs/>
          <w:color w:val="414145"/>
          <w:kern w:val="36"/>
          <w:sz w:val="48"/>
          <w:szCs w:val="48"/>
          <w:lang w:eastAsia="hr-HR"/>
        </w:rPr>
        <w:t>PRAVILNIK O ELEMENTIMA I KRITERIJIMA ZA IZBOR KANDIDATA ZA UPIS U I. RAZRED SREDNJE ŠKOLE</w:t>
      </w:r>
    </w:p>
    <w:p w14:paraId="25673820"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Pročišćeni tekst</w:t>
      </w:r>
    </w:p>
    <w:p w14:paraId="03E0DF6C"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NN </w:t>
      </w:r>
      <w:hyperlink r:id="rId5" w:history="1">
        <w:r w:rsidRPr="00AB7263">
          <w:rPr>
            <w:rFonts w:ascii="Open Sans" w:eastAsia="Times New Roman" w:hAnsi="Open Sans" w:cs="Open Sans"/>
            <w:b/>
            <w:bCs/>
            <w:color w:val="497FD7"/>
            <w:sz w:val="21"/>
            <w:szCs w:val="21"/>
            <w:u w:val="single"/>
            <w:lang w:eastAsia="hr-HR"/>
          </w:rPr>
          <w:t>49/15</w:t>
        </w:r>
      </w:hyperlink>
      <w:r w:rsidRPr="00AB7263">
        <w:rPr>
          <w:rFonts w:ascii="Open Sans" w:eastAsia="Times New Roman" w:hAnsi="Open Sans" w:cs="Open Sans"/>
          <w:color w:val="414145"/>
          <w:sz w:val="21"/>
          <w:szCs w:val="21"/>
          <w:lang w:eastAsia="hr-HR"/>
        </w:rPr>
        <w:t>, </w:t>
      </w:r>
      <w:hyperlink r:id="rId6" w:history="1">
        <w:r w:rsidRPr="00AB7263">
          <w:rPr>
            <w:rFonts w:ascii="Open Sans" w:eastAsia="Times New Roman" w:hAnsi="Open Sans" w:cs="Open Sans"/>
            <w:b/>
            <w:bCs/>
            <w:color w:val="497FD7"/>
            <w:sz w:val="21"/>
            <w:szCs w:val="21"/>
            <w:u w:val="single"/>
            <w:lang w:eastAsia="hr-HR"/>
          </w:rPr>
          <w:t>109/16</w:t>
        </w:r>
      </w:hyperlink>
      <w:r w:rsidRPr="00AB7263">
        <w:rPr>
          <w:rFonts w:ascii="Open Sans" w:eastAsia="Times New Roman" w:hAnsi="Open Sans" w:cs="Open Sans"/>
          <w:color w:val="414145"/>
          <w:sz w:val="21"/>
          <w:szCs w:val="21"/>
          <w:lang w:eastAsia="hr-HR"/>
        </w:rPr>
        <w:t>, </w:t>
      </w:r>
      <w:hyperlink r:id="rId7" w:history="1">
        <w:r w:rsidRPr="00AB7263">
          <w:rPr>
            <w:rFonts w:ascii="Open Sans" w:eastAsia="Times New Roman" w:hAnsi="Open Sans" w:cs="Open Sans"/>
            <w:b/>
            <w:bCs/>
            <w:color w:val="497FD7"/>
            <w:sz w:val="21"/>
            <w:szCs w:val="21"/>
            <w:u w:val="single"/>
            <w:lang w:eastAsia="hr-HR"/>
          </w:rPr>
          <w:t>47/17</w:t>
        </w:r>
      </w:hyperlink>
      <w:r w:rsidRPr="00AB7263">
        <w:rPr>
          <w:rFonts w:ascii="Open Sans" w:eastAsia="Times New Roman" w:hAnsi="Open Sans" w:cs="Open Sans"/>
          <w:color w:val="414145"/>
          <w:sz w:val="21"/>
          <w:szCs w:val="21"/>
          <w:lang w:eastAsia="hr-HR"/>
        </w:rPr>
        <w:t>, </w:t>
      </w:r>
      <w:hyperlink r:id="rId8" w:history="1">
        <w:r w:rsidRPr="00AB7263">
          <w:rPr>
            <w:rFonts w:ascii="Open Sans" w:eastAsia="Times New Roman" w:hAnsi="Open Sans" w:cs="Open Sans"/>
            <w:b/>
            <w:bCs/>
            <w:color w:val="497FD7"/>
            <w:sz w:val="21"/>
            <w:szCs w:val="21"/>
            <w:u w:val="single"/>
            <w:lang w:eastAsia="hr-HR"/>
          </w:rPr>
          <w:t>39/22</w:t>
        </w:r>
      </w:hyperlink>
      <w:r w:rsidRPr="00AB7263">
        <w:rPr>
          <w:rFonts w:ascii="Open Sans" w:eastAsia="Times New Roman" w:hAnsi="Open Sans" w:cs="Open Sans"/>
          <w:color w:val="414145"/>
          <w:sz w:val="21"/>
          <w:szCs w:val="21"/>
          <w:lang w:eastAsia="hr-HR"/>
        </w:rPr>
        <w:t>, </w:t>
      </w:r>
      <w:hyperlink r:id="rId9" w:history="1">
        <w:r w:rsidRPr="00AB7263">
          <w:rPr>
            <w:rFonts w:ascii="Open Sans" w:eastAsia="Times New Roman" w:hAnsi="Open Sans" w:cs="Open Sans"/>
            <w:b/>
            <w:bCs/>
            <w:color w:val="497FD7"/>
            <w:sz w:val="21"/>
            <w:szCs w:val="21"/>
            <w:u w:val="single"/>
            <w:lang w:eastAsia="hr-HR"/>
          </w:rPr>
          <w:t>79/25</w:t>
        </w:r>
      </w:hyperlink>
    </w:p>
    <w:p w14:paraId="64E7E3C3"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I. OPĆE ODREDBE</w:t>
      </w:r>
    </w:p>
    <w:p w14:paraId="2F198C27"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1.</w:t>
      </w:r>
    </w:p>
    <w:p w14:paraId="0222859E"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(1) Ovim pravilnikom utvrđuju se zajednički, dodatni i posebni elementi i kriteriji za izbor kandidata za upis u I. razred srednje škole u Republici Hrvatskoj.</w:t>
      </w:r>
    </w:p>
    <w:p w14:paraId="016CC2E3"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(2) Izrazi koji se koriste u ovom pravilniku, a koji imaju rodno značenje, bez obzira na to jesu li korišteni u muškome ili ženskome rodu, obuhvaćaju na jednak način i muški i ženski rod.</w:t>
      </w:r>
    </w:p>
    <w:p w14:paraId="447D32B1"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2.</w:t>
      </w:r>
    </w:p>
    <w:p w14:paraId="120E91EE"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(1) Pravo upisa u prvi razred srednje škole imaju svi kandidati nakon završenog osnovnog obrazovanja, pod jednakim uvjetima u okviru broja utvrđenog odlukom o upisu koju za svaku školsku godinu donosi ministar nadležan za obrazovanje (u daljnjemu tekstu: ministar).</w:t>
      </w:r>
    </w:p>
    <w:p w14:paraId="540111D4"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(2) Pod jednakim uvjetima u srednje škole upisuju se kandidati hrvatski državljani, Hrvati iz drugih država te djeca državljana iz država članica Europske unije.</w:t>
      </w:r>
    </w:p>
    <w:p w14:paraId="4815DEF6"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(3) U prvi razred srednje škole mogu se upisati kandidati koji do početka školske godine u kojoj upisuju prvi razred srednje škole navršavaju 17 godina. Iznimno, uz odobrenje školskog odbora, u prvi razred srednje škole može se upisati kandidat do navršenih 18 godina, a uz odobrenje ministarstva nadležnog za obrazovanje (u daljnjem tekstu: Ministarstvo) kandidat stariji od 18 godina.</w:t>
      </w:r>
    </w:p>
    <w:p w14:paraId="0A176142"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(4) Dobne granice za upis kandidata u pojedine programe srednjega umjetničkog obrazovanja propisane su zakonom koji uređuje umjetničko obrazovanje.</w:t>
      </w:r>
    </w:p>
    <w:p w14:paraId="3DFAC4F1"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(5) Prijave i upis kandidata u prve razrede srednjih škola provode se putem Nacionalnog informacijskog sustava prijava i upisa u srednje škole (</w:t>
      </w:r>
      <w:proofErr w:type="spellStart"/>
      <w:r w:rsidRPr="00AB7263">
        <w:rPr>
          <w:rFonts w:ascii="Open Sans" w:eastAsia="Times New Roman" w:hAnsi="Open Sans" w:cs="Open Sans"/>
          <w:color w:val="414145"/>
          <w:sz w:val="21"/>
          <w:szCs w:val="21"/>
          <w:lang w:eastAsia="hr-HR"/>
        </w:rPr>
        <w:t>NISpuSŠ</w:t>
      </w:r>
      <w:proofErr w:type="spellEnd"/>
      <w:r w:rsidRPr="00AB7263">
        <w:rPr>
          <w:rFonts w:ascii="Open Sans" w:eastAsia="Times New Roman" w:hAnsi="Open Sans" w:cs="Open Sans"/>
          <w:color w:val="414145"/>
          <w:sz w:val="21"/>
          <w:szCs w:val="21"/>
          <w:lang w:eastAsia="hr-HR"/>
        </w:rPr>
        <w:t>), osim u posebnim slučajevima propisanim odlukom o upisu iz stavka 1. ovoga članka.</w:t>
      </w:r>
    </w:p>
    <w:p w14:paraId="58623295"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(6) U svakome upisnom roku kandidat može prijaviti najviše 6 odabira programa obrazovanja.</w:t>
      </w:r>
    </w:p>
    <w:p w14:paraId="4A3B6096"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3. (NN </w:t>
      </w:r>
      <w:hyperlink r:id="rId10" w:history="1">
        <w:r w:rsidRPr="00AB7263">
          <w:rPr>
            <w:rFonts w:ascii="Open Sans" w:eastAsia="Times New Roman" w:hAnsi="Open Sans" w:cs="Open Sans"/>
            <w:b/>
            <w:bCs/>
            <w:color w:val="497FD7"/>
            <w:sz w:val="21"/>
            <w:szCs w:val="21"/>
            <w:u w:val="single"/>
            <w:lang w:eastAsia="hr-HR"/>
          </w:rPr>
          <w:t>39/22</w:t>
        </w:r>
      </w:hyperlink>
      <w:r w:rsidRPr="00AB7263">
        <w:rPr>
          <w:rFonts w:ascii="Open Sans" w:eastAsia="Times New Roman" w:hAnsi="Open Sans" w:cs="Open Sans"/>
          <w:color w:val="414145"/>
          <w:sz w:val="21"/>
          <w:szCs w:val="21"/>
          <w:lang w:eastAsia="hr-HR"/>
        </w:rPr>
        <w:t>)</w:t>
      </w:r>
    </w:p>
    <w:p w14:paraId="62F527E4"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lastRenderedPageBreak/>
        <w:t>(1) Kandidat koji je strani državljanin iz zemlje izvan Europskog gospodarskog prostora i Švicarske Konfederacije može se upisati u srednju školu kao redoviti učenik bez plaćanja troškova školovanja ako ispunjava jedan od sljedećih uvjeta:</w:t>
      </w:r>
    </w:p>
    <w:p w14:paraId="72084804" w14:textId="77777777" w:rsidR="00AB7263" w:rsidRPr="00AB7263" w:rsidRDefault="00AB7263" w:rsidP="00AB7263">
      <w:pPr>
        <w:spacing w:after="48" w:line="240" w:lineRule="auto"/>
        <w:ind w:firstLine="408"/>
        <w:rPr>
          <w:rFonts w:ascii="Times New Roman" w:eastAsia="Times New Roman" w:hAnsi="Times New Roman" w:cs="Times New Roman"/>
          <w:color w:val="231F20"/>
          <w:sz w:val="24"/>
          <w:szCs w:val="24"/>
          <w:lang w:eastAsia="hr-HR"/>
        </w:rPr>
      </w:pPr>
      <w:r w:rsidRPr="00AB7263">
        <w:rPr>
          <w:rFonts w:ascii="Times New Roman" w:eastAsia="Times New Roman" w:hAnsi="Times New Roman" w:cs="Times New Roman"/>
          <w:color w:val="231F20"/>
          <w:sz w:val="24"/>
          <w:szCs w:val="24"/>
          <w:lang w:eastAsia="hr-HR"/>
        </w:rPr>
        <w:t>1. ako za to postoji međudržavni ugovor ili osoba sudjeluje u priznatom državnom ili regionalnom obrazovnom programu razmjene učenika koje je odobrilo ministarstvo nadležno za obrazovanje ili u obrazovnom projektu koji vodi obrazovna ustanova</w:t>
      </w:r>
    </w:p>
    <w:p w14:paraId="42BFBAC3" w14:textId="77777777" w:rsidR="00AB7263" w:rsidRPr="00AB7263" w:rsidRDefault="00AB7263" w:rsidP="00AB7263">
      <w:pPr>
        <w:spacing w:after="48" w:line="240" w:lineRule="auto"/>
        <w:ind w:firstLine="408"/>
        <w:rPr>
          <w:rFonts w:ascii="Times New Roman" w:eastAsia="Times New Roman" w:hAnsi="Times New Roman" w:cs="Times New Roman"/>
          <w:color w:val="231F20"/>
          <w:sz w:val="24"/>
          <w:szCs w:val="24"/>
          <w:lang w:eastAsia="hr-HR"/>
        </w:rPr>
      </w:pPr>
      <w:r w:rsidRPr="00AB7263">
        <w:rPr>
          <w:rFonts w:ascii="Times New Roman" w:eastAsia="Times New Roman" w:hAnsi="Times New Roman" w:cs="Times New Roman"/>
          <w:color w:val="231F20"/>
          <w:sz w:val="24"/>
          <w:szCs w:val="24"/>
          <w:lang w:eastAsia="hr-HR"/>
        </w:rPr>
        <w:t>2. ako osoba ima odobren privremeni boravak u svrhu spajanja obitelji, privremeni boravak iz humanitarnih razloga, privremeni boravak u druge svrhe, privremeni boravak osobe s dugotrajnim boravištem u drugoj državi članici EGP-a ili odobren stalni boravak ili dugotrajno boravište,</w:t>
      </w:r>
    </w:p>
    <w:p w14:paraId="506CA7AD" w14:textId="77777777" w:rsidR="00AB7263" w:rsidRPr="00AB7263" w:rsidRDefault="00AB7263" w:rsidP="00AB7263">
      <w:pPr>
        <w:spacing w:after="48" w:line="240" w:lineRule="auto"/>
        <w:ind w:firstLine="408"/>
        <w:rPr>
          <w:rFonts w:ascii="Times New Roman" w:eastAsia="Times New Roman" w:hAnsi="Times New Roman" w:cs="Times New Roman"/>
          <w:color w:val="231F20"/>
          <w:sz w:val="24"/>
          <w:szCs w:val="24"/>
          <w:lang w:eastAsia="hr-HR"/>
        </w:rPr>
      </w:pPr>
      <w:r w:rsidRPr="00AB7263">
        <w:rPr>
          <w:rFonts w:ascii="Times New Roman" w:eastAsia="Times New Roman" w:hAnsi="Times New Roman" w:cs="Times New Roman"/>
          <w:color w:val="231F20"/>
          <w:sz w:val="24"/>
          <w:szCs w:val="24"/>
          <w:lang w:eastAsia="hr-HR"/>
        </w:rPr>
        <w:t>3. ako je roditelj ili skrbnik te osobe diplomatski predstavnik strane države u Hrvatskoj;</w:t>
      </w:r>
    </w:p>
    <w:p w14:paraId="736973B5" w14:textId="77777777" w:rsidR="00AB7263" w:rsidRPr="00AB7263" w:rsidRDefault="00AB7263" w:rsidP="00AB7263">
      <w:pPr>
        <w:spacing w:after="48" w:line="240" w:lineRule="auto"/>
        <w:ind w:firstLine="408"/>
        <w:rPr>
          <w:rFonts w:ascii="Times New Roman" w:eastAsia="Times New Roman" w:hAnsi="Times New Roman" w:cs="Times New Roman"/>
          <w:color w:val="231F20"/>
          <w:sz w:val="24"/>
          <w:szCs w:val="24"/>
          <w:lang w:eastAsia="hr-HR"/>
        </w:rPr>
      </w:pPr>
      <w:r w:rsidRPr="00AB7263">
        <w:rPr>
          <w:rFonts w:ascii="Times New Roman" w:eastAsia="Times New Roman" w:hAnsi="Times New Roman" w:cs="Times New Roman"/>
          <w:color w:val="231F20"/>
          <w:sz w:val="24"/>
          <w:szCs w:val="24"/>
          <w:lang w:eastAsia="hr-HR"/>
        </w:rPr>
        <w:t>4. ako je takva osoba ili roditelj ili skrbnik te osobe azilant ili tražitelj međunarodne zaštite;</w:t>
      </w:r>
    </w:p>
    <w:p w14:paraId="2F88DB1E"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5. ako je takva osoba ili roditelj ili skrbnik te osobe stranac pod supsidijarnom zaštitom ili stranac pod privremenom zaštitom.</w:t>
      </w:r>
    </w:p>
    <w:p w14:paraId="304AEB2F"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(2) Kandidat strani državljanin iz zemalja izvan Europskog gospodarskog prostora i Švicarske Konfederacije, a koji ne ispunjava ni jedan od uvjeta iz stavka 1. ovoga članka, može se upisati u srednju školu kao redoviti učenik uz obvezu plaćanja troškova školarine, ako ima reguliran status boravka sukladno zakonu kojim je uređen status stranaca.</w:t>
      </w:r>
    </w:p>
    <w:p w14:paraId="452D4962"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(3) Odluku o godišnjim troškovima školovanja učenika iz stavka 2. ovoga članka donosi osnivač školske ustanove na prijedlog školskoga odbora.</w:t>
      </w:r>
    </w:p>
    <w:p w14:paraId="7565103C"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(4) Iznimno od stavka 2. ovoga članka, osnivač može, na prijedlog školskoga odbora, donijeti odluku kojom učenika oslobađa obveze plaćanja troškova školarine.</w:t>
      </w:r>
    </w:p>
    <w:p w14:paraId="412CD39E"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4.</w:t>
      </w:r>
    </w:p>
    <w:p w14:paraId="6FBF3E1F"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(1) Kandidat koji u osnovnoj školi nije učio određeni strani jezik može prilikom prijave programa obrazovanja odabrati učenje toga stranog jezika kao prvoga stranog jezika uz uvjet da je na provjeri znanja utvrđena mogućnost učenja toga stranog jezika kao prvoga stranog jezika.</w:t>
      </w:r>
    </w:p>
    <w:p w14:paraId="16BF106B"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(2) Provjeru znanja iz stavka 1. ovoga članka provodi stručno povjerenstvo srednje škole u koju se kandidat upisuje, o čemu sastavlja zapisnik.</w:t>
      </w:r>
    </w:p>
    <w:p w14:paraId="3AE594BD"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(3) Provjeru znanja iz stavka 1. ovoga članka kandidat polaže u jednoj školi i rezultati provjere vrijede za prijavu u druge škole koje uvjetuju znanje istoga stranog jezika.</w:t>
      </w:r>
    </w:p>
    <w:p w14:paraId="1487F586"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5. (NN </w:t>
      </w:r>
      <w:hyperlink r:id="rId11" w:history="1">
        <w:r w:rsidRPr="00AB7263">
          <w:rPr>
            <w:rFonts w:ascii="Open Sans" w:eastAsia="Times New Roman" w:hAnsi="Open Sans" w:cs="Open Sans"/>
            <w:b/>
            <w:bCs/>
            <w:color w:val="497FD7"/>
            <w:sz w:val="21"/>
            <w:szCs w:val="21"/>
            <w:u w:val="single"/>
            <w:lang w:eastAsia="hr-HR"/>
          </w:rPr>
          <w:t>39/22</w:t>
        </w:r>
      </w:hyperlink>
      <w:r w:rsidRPr="00AB7263">
        <w:rPr>
          <w:rFonts w:ascii="Open Sans" w:eastAsia="Times New Roman" w:hAnsi="Open Sans" w:cs="Open Sans"/>
          <w:color w:val="414145"/>
          <w:sz w:val="21"/>
          <w:szCs w:val="21"/>
          <w:lang w:eastAsia="hr-HR"/>
        </w:rPr>
        <w:t>, </w:t>
      </w:r>
      <w:hyperlink r:id="rId12" w:history="1">
        <w:r w:rsidRPr="00AB7263">
          <w:rPr>
            <w:rFonts w:ascii="Open Sans" w:eastAsia="Times New Roman" w:hAnsi="Open Sans" w:cs="Open Sans"/>
            <w:b/>
            <w:bCs/>
            <w:color w:val="497FD7"/>
            <w:sz w:val="21"/>
            <w:szCs w:val="21"/>
            <w:u w:val="single"/>
            <w:lang w:eastAsia="hr-HR"/>
          </w:rPr>
          <w:t>79/25</w:t>
        </w:r>
      </w:hyperlink>
      <w:r w:rsidRPr="00AB7263">
        <w:rPr>
          <w:rFonts w:ascii="Open Sans" w:eastAsia="Times New Roman" w:hAnsi="Open Sans" w:cs="Open Sans"/>
          <w:color w:val="414145"/>
          <w:sz w:val="21"/>
          <w:szCs w:val="21"/>
          <w:lang w:eastAsia="hr-HR"/>
        </w:rPr>
        <w:t>)</w:t>
      </w:r>
    </w:p>
    <w:p w14:paraId="3EE2C782"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(1) Elementi i kriteriji za upis kandidata u I. razred srednje škole propisani ovim pravilnikom koriste se i za upis u međunarodne programe.</w:t>
      </w:r>
    </w:p>
    <w:p w14:paraId="1D0C980D"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(2) Iznimno od stavka 1. ovoga članka, za kandidate koji nastavljaju obrazovanje prema međunarodnom programu u istom ciklusu na srednjoškolskoj razini u školi koja izvodi isti međunarodni program u istom ciklusu, pri upisu u I. razred srednje škole ne primjenjuju se elementi i kriteriji propisani ovim Pravilnikom.</w:t>
      </w:r>
    </w:p>
    <w:p w14:paraId="0731EBB0"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(3) Odluku o troškovima školovanja u međunarodnim programima donosi školski odbor uz suglasnost osnivača.</w:t>
      </w:r>
    </w:p>
    <w:p w14:paraId="212B84EC"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lastRenderedPageBreak/>
        <w:t>(4) Za upis u međunarodne programe može se provoditi provjera znanja koju propisuje i provodi škola, osim za kandidate iz stavka 2. ovoga članka.</w:t>
      </w:r>
    </w:p>
    <w:p w14:paraId="1D971E3D"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(5) Provjera znanja iz stavka 4. ovoga članka nije eliminacijska.</w:t>
      </w:r>
    </w:p>
    <w:p w14:paraId="496FCF18"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II. ELEMENTI VREDNOVANJA I UTVRĐIVANJE UKUPNOGA REZULTATA KANDIDATA</w:t>
      </w:r>
    </w:p>
    <w:p w14:paraId="6168A9C1"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6. (NN </w:t>
      </w:r>
      <w:hyperlink r:id="rId13" w:history="1">
        <w:r w:rsidRPr="00AB7263">
          <w:rPr>
            <w:rFonts w:ascii="Open Sans" w:eastAsia="Times New Roman" w:hAnsi="Open Sans" w:cs="Open Sans"/>
            <w:b/>
            <w:bCs/>
            <w:color w:val="497FD7"/>
            <w:sz w:val="21"/>
            <w:szCs w:val="21"/>
            <w:u w:val="single"/>
            <w:lang w:eastAsia="hr-HR"/>
          </w:rPr>
          <w:t>39/22</w:t>
        </w:r>
      </w:hyperlink>
      <w:r w:rsidRPr="00AB7263">
        <w:rPr>
          <w:rFonts w:ascii="Open Sans" w:eastAsia="Times New Roman" w:hAnsi="Open Sans" w:cs="Open Sans"/>
          <w:color w:val="414145"/>
          <w:sz w:val="21"/>
          <w:szCs w:val="21"/>
          <w:lang w:eastAsia="hr-HR"/>
        </w:rPr>
        <w:t>)</w:t>
      </w:r>
    </w:p>
    <w:p w14:paraId="07452962" w14:textId="77777777" w:rsidR="00AB7263" w:rsidRPr="00AB7263" w:rsidRDefault="00AB7263" w:rsidP="00AB7263">
      <w:pPr>
        <w:spacing w:after="48" w:line="240" w:lineRule="auto"/>
        <w:ind w:firstLine="408"/>
        <w:rPr>
          <w:rFonts w:ascii="Times New Roman" w:eastAsia="Times New Roman" w:hAnsi="Times New Roman" w:cs="Times New Roman"/>
          <w:color w:val="231F20"/>
          <w:sz w:val="24"/>
          <w:szCs w:val="24"/>
          <w:lang w:eastAsia="hr-HR"/>
        </w:rPr>
      </w:pPr>
      <w:r w:rsidRPr="00AB7263">
        <w:rPr>
          <w:rFonts w:ascii="Times New Roman" w:eastAsia="Times New Roman" w:hAnsi="Times New Roman" w:cs="Times New Roman"/>
          <w:color w:val="231F20"/>
          <w:sz w:val="24"/>
          <w:szCs w:val="24"/>
          <w:lang w:eastAsia="hr-HR"/>
        </w:rPr>
        <w:t>(1) Za upis u I. razred srednje škole prijavljenom kandidatu vrednuju se zajednički, dodatan i poseban element.</w:t>
      </w:r>
    </w:p>
    <w:p w14:paraId="03514708" w14:textId="77777777" w:rsidR="00AB7263" w:rsidRPr="00AB7263" w:rsidRDefault="00AB7263" w:rsidP="00AB7263">
      <w:pPr>
        <w:spacing w:after="48" w:line="240" w:lineRule="auto"/>
        <w:ind w:firstLine="408"/>
        <w:rPr>
          <w:rFonts w:ascii="Times New Roman" w:eastAsia="Times New Roman" w:hAnsi="Times New Roman" w:cs="Times New Roman"/>
          <w:color w:val="231F20"/>
          <w:sz w:val="24"/>
          <w:szCs w:val="24"/>
          <w:lang w:eastAsia="hr-HR"/>
        </w:rPr>
      </w:pPr>
      <w:r w:rsidRPr="00AB7263">
        <w:rPr>
          <w:rFonts w:ascii="Times New Roman" w:eastAsia="Times New Roman" w:hAnsi="Times New Roman" w:cs="Times New Roman"/>
          <w:color w:val="231F20"/>
          <w:sz w:val="24"/>
          <w:szCs w:val="24"/>
          <w:lang w:eastAsia="hr-HR"/>
        </w:rPr>
        <w:t>(2) Ljestvica poretka kandidata utvrđuje se na osnovi bodovanja zajedničkoga i dodatnoga elementa vrednovanja uz dokazivanje zdravstvene sposobnosti kandidata za obavljanje poslova i radnih zadaća u odabranom zanimanju, ako je to za odabrano zanimanje potrebno.</w:t>
      </w:r>
    </w:p>
    <w:p w14:paraId="601EBABF" w14:textId="77777777" w:rsidR="00AB7263" w:rsidRPr="00AB7263" w:rsidRDefault="00AB7263" w:rsidP="00AB7263">
      <w:pPr>
        <w:spacing w:after="48" w:line="240" w:lineRule="auto"/>
        <w:ind w:firstLine="408"/>
        <w:rPr>
          <w:rFonts w:ascii="Times New Roman" w:eastAsia="Times New Roman" w:hAnsi="Times New Roman" w:cs="Times New Roman"/>
          <w:color w:val="231F20"/>
          <w:sz w:val="24"/>
          <w:szCs w:val="24"/>
          <w:lang w:eastAsia="hr-HR"/>
        </w:rPr>
      </w:pPr>
      <w:r w:rsidRPr="00AB7263">
        <w:rPr>
          <w:rFonts w:ascii="Times New Roman" w:eastAsia="Times New Roman" w:hAnsi="Times New Roman" w:cs="Times New Roman"/>
          <w:color w:val="231F20"/>
          <w:sz w:val="24"/>
          <w:szCs w:val="24"/>
          <w:lang w:eastAsia="hr-HR"/>
        </w:rPr>
        <w:t>(3) Iznimno od stavka 2. ovoga članka, pri utvrđivanju ljestvice poretka kandidatima pripadnicima romske nacionalne manjine i kandidatima bez roditelja/skrbnika ili odgovarajuće roditeljske skrbi uz zajednički i dodatni element vrednovanja boduje se i element vrednovanja sukladno članku 21. ovoga Pravilnika.</w:t>
      </w:r>
    </w:p>
    <w:p w14:paraId="15EF1E1D" w14:textId="77777777" w:rsidR="00AB7263" w:rsidRPr="00AB7263" w:rsidRDefault="00AB7263" w:rsidP="00AB7263">
      <w:pPr>
        <w:spacing w:after="48" w:line="240" w:lineRule="auto"/>
        <w:ind w:firstLine="408"/>
        <w:rPr>
          <w:rFonts w:ascii="Times New Roman" w:eastAsia="Times New Roman" w:hAnsi="Times New Roman" w:cs="Times New Roman"/>
          <w:color w:val="231F20"/>
          <w:sz w:val="24"/>
          <w:szCs w:val="24"/>
          <w:lang w:eastAsia="hr-HR"/>
        </w:rPr>
      </w:pPr>
      <w:r w:rsidRPr="00AB7263">
        <w:rPr>
          <w:rFonts w:ascii="Times New Roman" w:eastAsia="Times New Roman" w:hAnsi="Times New Roman" w:cs="Times New Roman"/>
          <w:color w:val="231F20"/>
          <w:sz w:val="24"/>
          <w:szCs w:val="24"/>
          <w:lang w:eastAsia="hr-HR"/>
        </w:rPr>
        <w:t>(4) Ako dva ili više kandidata na zadnjem mjestu ljestvice poretka imaju isti ukupan broj bodova na temelju stavka 2. i 3. ovoga članka, kandidati se upisuju u skladu s člancima 9., 10., 11., 12. i 14. ovoga Pravilnika.</w:t>
      </w:r>
    </w:p>
    <w:p w14:paraId="1162F828" w14:textId="77777777" w:rsidR="00AB7263" w:rsidRPr="00AB7263" w:rsidRDefault="00AB7263" w:rsidP="00AB7263">
      <w:pPr>
        <w:spacing w:after="48" w:line="240" w:lineRule="auto"/>
        <w:ind w:firstLine="408"/>
        <w:rPr>
          <w:rFonts w:ascii="Times New Roman" w:eastAsia="Times New Roman" w:hAnsi="Times New Roman" w:cs="Times New Roman"/>
          <w:color w:val="231F20"/>
          <w:sz w:val="24"/>
          <w:szCs w:val="24"/>
          <w:lang w:eastAsia="hr-HR"/>
        </w:rPr>
      </w:pPr>
      <w:r w:rsidRPr="00AB7263">
        <w:rPr>
          <w:rFonts w:ascii="Times New Roman" w:eastAsia="Times New Roman" w:hAnsi="Times New Roman" w:cs="Times New Roman"/>
          <w:color w:val="231F20"/>
          <w:sz w:val="24"/>
          <w:szCs w:val="24"/>
          <w:lang w:eastAsia="hr-HR"/>
        </w:rPr>
        <w:t>(5) Ako dva ili više kandidata na zadnjem mjestu ljestvice poretka imaju isti ukupan broj bodova na temelju stavaka 2., 3. i 4. ovoga članka upisuje se kandidat koji ostvaruje pravo na poseban element vrednovanja.</w:t>
      </w:r>
    </w:p>
    <w:p w14:paraId="1CD6E429"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(6) Iznimno od stavka 5. ovoga članka, ako dva ili više kandidata na zadnjem mjestu ljestvice poretka imaju isti ukupan broj bodova na temelju stavaka 2., 3. i 4. ovoga članka i ostvaruju pravo na poseban element vrednovanja upisuju se svi kandidati..</w:t>
      </w:r>
    </w:p>
    <w:p w14:paraId="7AFBB343"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III. ZAJEDNIČKI ELEMENT VREDNOVANJA KANDIDATA</w:t>
      </w:r>
    </w:p>
    <w:p w14:paraId="2518FE4A"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7.</w:t>
      </w:r>
    </w:p>
    <w:p w14:paraId="4AE0148E"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(1) Zajednički element vrednovanja za upis kandidata u sve srednjoškolske programe obrazovanja čine prosjeci zaključnih ocjena iz svih nastavnih predmeta na dvije decimale u posljednja četiri razreda osnovnog obrazovanja.</w:t>
      </w:r>
    </w:p>
    <w:p w14:paraId="118163DB"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Na takav način moguće je steći najviše 20 bodova.</w:t>
      </w:r>
    </w:p>
    <w:p w14:paraId="2BE07AFD"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(2) Za upis kandidata u programe obrazovanja za stjecanje strukovne kvalifikacije u trajanju manjem od tri godine vrednuje se zajednički element iz stavka 1. ovoga članka.</w:t>
      </w:r>
    </w:p>
    <w:p w14:paraId="5DDAF8C0"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(3) Za upis kandidata u programe za stjecanje strukovne kvalifikacije u trajanju od najmanje tri godine i programe obrazovanja za vezane obrte, uz element iz stavka 1. ovoga članka, vrednuju se i zaključne ocjene u posljednja dva razreda osnovnog obrazovanja iz nastavnih predmeta: Hrvatski jezik, Matematika i prvi strani jezik.</w:t>
      </w:r>
    </w:p>
    <w:p w14:paraId="3485CA79"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Na takav način moguće je steći najviše 50 bodova.</w:t>
      </w:r>
    </w:p>
    <w:p w14:paraId="0BB54CF1"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xml:space="preserve">(4) Za upis kandidata u gimnazijske programe i programe obrazovanja za stjecanje strukovne kvalifikacije u trajanju od najmanje četiri godine, uz element iz stavka 1. ovoga članka vrednuju se i zaključne ocjene u posljednja dva razreda osnovnog obrazovanja iz nastavnih predmeta: Hrvatski jezik, Matematika i prvi strani jezik te triju nastavnih predmeta važnih za nastavak obrazovanja u pojedinim programima obrazovanja od kojih su dva propisana Popisom predmeta posebno važnih za upis koji je sastavni dio ovog Pravilnika, a jedan </w:t>
      </w:r>
      <w:r w:rsidRPr="00AB7263">
        <w:rPr>
          <w:rFonts w:ascii="Open Sans" w:eastAsia="Times New Roman" w:hAnsi="Open Sans" w:cs="Open Sans"/>
          <w:color w:val="414145"/>
          <w:sz w:val="21"/>
          <w:szCs w:val="21"/>
          <w:lang w:eastAsia="hr-HR"/>
        </w:rPr>
        <w:lastRenderedPageBreak/>
        <w:t>samostalno određuje srednja škola od obveznih nastavnih predmeta koji se uče u osnovnoj školi. Za programe koji se provode na jeziku i pismu nacionalnih manjina to je, u pravilu, nastavni predmet iz jezika nacionalne manjine (materinski jezik).</w:t>
      </w:r>
    </w:p>
    <w:p w14:paraId="455569E1"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Na takav način moguće je steći najviše 80 bodova.</w:t>
      </w:r>
    </w:p>
    <w:p w14:paraId="78CBBCA5"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(5) U slučaju da kandidatu u svjedodžbama za posljednje četiri godine osnovnog obrazovanja nije upisana ocjena iz nekog od nastavnih predmeta koji su značajni za prijavu za upis, za utvrđivanje broja bodova iz toga nastavnoga predmeta koristi se prosjek svih zaključnih ocjena na dvije decimale u posljednja četiri razreda osnovnog obrazovanja.</w:t>
      </w:r>
    </w:p>
    <w:p w14:paraId="3B10F2F6"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IV. DODATNI ELEMENT VREDNOVANJA KANDIDATA</w:t>
      </w:r>
    </w:p>
    <w:p w14:paraId="1445AC4C"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8.</w:t>
      </w:r>
    </w:p>
    <w:p w14:paraId="4FEFACC9"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(1) Dodatni element vrednovanja čine sposobnosti, darovitosti i znanja kandidata.</w:t>
      </w:r>
    </w:p>
    <w:p w14:paraId="38C4784E"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(2) Sposobnosti, darovitosti i znanja kandidata dokazuju se i vrednuju:</w:t>
      </w:r>
    </w:p>
    <w:p w14:paraId="644827A5"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na osnovi provjere (ispitivanja) posebnih znanja, vještina, sposobnosti i darovitosti;</w:t>
      </w:r>
    </w:p>
    <w:p w14:paraId="3F25C094"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na osnovi rezultata postignutih na natjecanjima u znanju;</w:t>
      </w:r>
    </w:p>
    <w:p w14:paraId="2659CD3A"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na osnovi rezultata postignutih na natjecanjima školskih sportskih društava.</w:t>
      </w:r>
    </w:p>
    <w:p w14:paraId="5E22ED48"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Provjera posebnih znanja kandidata</w:t>
      </w:r>
    </w:p>
    <w:p w14:paraId="7CF5BA5F"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9. (NN </w:t>
      </w:r>
      <w:hyperlink r:id="rId14" w:history="1">
        <w:r w:rsidRPr="00AB7263">
          <w:rPr>
            <w:rFonts w:ascii="Open Sans" w:eastAsia="Times New Roman" w:hAnsi="Open Sans" w:cs="Open Sans"/>
            <w:b/>
            <w:bCs/>
            <w:color w:val="497FD7"/>
            <w:sz w:val="21"/>
            <w:szCs w:val="21"/>
            <w:u w:val="single"/>
            <w:lang w:eastAsia="hr-HR"/>
          </w:rPr>
          <w:t>39/22</w:t>
        </w:r>
      </w:hyperlink>
      <w:r w:rsidRPr="00AB7263">
        <w:rPr>
          <w:rFonts w:ascii="Open Sans" w:eastAsia="Times New Roman" w:hAnsi="Open Sans" w:cs="Open Sans"/>
          <w:color w:val="414145"/>
          <w:sz w:val="21"/>
          <w:szCs w:val="21"/>
          <w:lang w:eastAsia="hr-HR"/>
        </w:rPr>
        <w:t>)</w:t>
      </w:r>
    </w:p>
    <w:p w14:paraId="79FBB8D5"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(1) Srednje škole mogu provoditi provjere posebnih znanja iz nastavnih predmeta: Hrvatskoga jezika, Matematike, prvoga stranog jezika te nastavnih predmeta važnih za nastavak obrazovanja u pojedinim programima obrazovanja od kojih su dva propisana Popisom predmeta posebno važnih za upis, a jedan koji samostalno određuje srednja škola od obveznih nastavnih predmeta koji se uče u osnovnoj školi.</w:t>
      </w:r>
    </w:p>
    <w:p w14:paraId="48EEB9FD"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(2) Brisan</w:t>
      </w:r>
    </w:p>
    <w:p w14:paraId="09620D6F"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(3) Za provedbu provjere iz stavka 1. ovoga članka srednje škole moraju Ministarstvu uputiti zahtjev te ishoditi suglasnost.</w:t>
      </w:r>
    </w:p>
    <w:p w14:paraId="11AA0BBB"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(4) Zahtjev za suglasnost iz stavka 3. ovoga članka srednje škole dostavljaju Ministarstvu najkasnije do 31. ožujka tekuće školske godine, a za upis u narednu školsku godinu.</w:t>
      </w:r>
    </w:p>
    <w:p w14:paraId="4390C572"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(5) Na temelju provjera iz stavka 1. ovoga članka kandidat može ostvariti najviše 10 bodova.</w:t>
      </w:r>
    </w:p>
    <w:p w14:paraId="23F38F51"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(6) Provjera iz stavka 1. ovoga članka nije eliminacijska.</w:t>
      </w:r>
    </w:p>
    <w:p w14:paraId="51CDD54A"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(7) Ako dva ili više kandidata na zadnjem mjestu ljestvice poretka imaju isti ukupan broj bodova iz zajedničko i dodatnog elementa vrednovanja upisuje se onaj kandidat koji je ostvario veći broj bodova iz provjere posebnih znanja.</w:t>
      </w:r>
    </w:p>
    <w:p w14:paraId="607C60EE" w14:textId="77777777" w:rsidR="00AB7263" w:rsidRPr="00AB7263" w:rsidRDefault="00AB7263" w:rsidP="00AB7263">
      <w:pPr>
        <w:spacing w:after="48" w:line="240" w:lineRule="auto"/>
        <w:ind w:firstLine="408"/>
        <w:rPr>
          <w:rFonts w:ascii="Times New Roman" w:eastAsia="Times New Roman" w:hAnsi="Times New Roman" w:cs="Times New Roman"/>
          <w:color w:val="231F20"/>
          <w:sz w:val="24"/>
          <w:szCs w:val="24"/>
          <w:lang w:eastAsia="hr-HR"/>
        </w:rPr>
      </w:pPr>
      <w:r w:rsidRPr="00AB7263">
        <w:rPr>
          <w:rFonts w:ascii="Times New Roman" w:eastAsia="Times New Roman" w:hAnsi="Times New Roman" w:cs="Times New Roman"/>
          <w:color w:val="231F20"/>
          <w:sz w:val="24"/>
          <w:szCs w:val="24"/>
          <w:lang w:eastAsia="hr-HR"/>
        </w:rPr>
        <w:t>(8) Ako dva ili više kandidata na zadnjem mjestu ljestvice poretka imaju isti ukupan broj bodova iz zajedničkog i dodatnog elementa vrednovanja i imaju isti broj bodova iz provjere posebnih znanja, upisuje se onaj kandidat koji ostvaruje pravo na poseban element vrednovanja.</w:t>
      </w:r>
    </w:p>
    <w:p w14:paraId="1E9F7DA1" w14:textId="77777777" w:rsidR="00AB7263" w:rsidRPr="00AB7263" w:rsidRDefault="00AB7263" w:rsidP="00AB7263">
      <w:pPr>
        <w:spacing w:after="48" w:line="240" w:lineRule="auto"/>
        <w:ind w:firstLine="408"/>
        <w:rPr>
          <w:rFonts w:ascii="Times New Roman" w:eastAsia="Times New Roman" w:hAnsi="Times New Roman" w:cs="Times New Roman"/>
          <w:color w:val="231F20"/>
          <w:sz w:val="24"/>
          <w:szCs w:val="24"/>
          <w:lang w:eastAsia="hr-HR"/>
        </w:rPr>
      </w:pPr>
      <w:r w:rsidRPr="00AB7263">
        <w:rPr>
          <w:rFonts w:ascii="Times New Roman" w:eastAsia="Times New Roman" w:hAnsi="Times New Roman" w:cs="Times New Roman"/>
          <w:color w:val="231F20"/>
          <w:sz w:val="24"/>
          <w:szCs w:val="24"/>
          <w:lang w:eastAsia="hr-HR"/>
        </w:rPr>
        <w:t>(9) Ako dva ili više kandidata na zadnjem mjestu ljestvice poretka imaju isti ukupan broj bodova iz zajedničkog i dodatnog elementa vrednovanja i imaju isti broj bodova iz provjere posebnih znanja te ostvaruju pravo na poseban element vrednovanja, upisuju se svi kandidati.</w:t>
      </w:r>
    </w:p>
    <w:p w14:paraId="67A343EE" w14:textId="77777777" w:rsidR="00AB7263" w:rsidRPr="00AB7263" w:rsidRDefault="00AB7263" w:rsidP="00AB7263">
      <w:pPr>
        <w:spacing w:after="48" w:line="240" w:lineRule="auto"/>
        <w:ind w:firstLine="408"/>
        <w:rPr>
          <w:rFonts w:ascii="Times New Roman" w:eastAsia="Times New Roman" w:hAnsi="Times New Roman" w:cs="Times New Roman"/>
          <w:color w:val="231F20"/>
          <w:sz w:val="24"/>
          <w:szCs w:val="24"/>
          <w:lang w:eastAsia="hr-HR"/>
        </w:rPr>
      </w:pPr>
      <w:r w:rsidRPr="00AB7263">
        <w:rPr>
          <w:rFonts w:ascii="Times New Roman" w:eastAsia="Times New Roman" w:hAnsi="Times New Roman" w:cs="Times New Roman"/>
          <w:color w:val="231F20"/>
          <w:sz w:val="24"/>
          <w:szCs w:val="24"/>
          <w:lang w:eastAsia="hr-HR"/>
        </w:rPr>
        <w:lastRenderedPageBreak/>
        <w:t>(10) Kandidati s teškoćama u razvoju koji imaju rješenje o primjerenome programu obrazovanja, a koji pristupaju provjeri posebnih znanja iz stavka 1. ovoga članka, imaju pravo na prilagodbu ispitne tehnologije.</w:t>
      </w:r>
    </w:p>
    <w:p w14:paraId="7D71F55F"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Vrednovanje uspjeha radi upisa u programe likovne umjetnosti i dizajna</w:t>
      </w:r>
    </w:p>
    <w:p w14:paraId="17DF3DA4"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10. (NN </w:t>
      </w:r>
      <w:hyperlink r:id="rId15" w:history="1">
        <w:r w:rsidRPr="00AB7263">
          <w:rPr>
            <w:rFonts w:ascii="Open Sans" w:eastAsia="Times New Roman" w:hAnsi="Open Sans" w:cs="Open Sans"/>
            <w:b/>
            <w:bCs/>
            <w:color w:val="497FD7"/>
            <w:sz w:val="21"/>
            <w:szCs w:val="21"/>
            <w:u w:val="single"/>
            <w:lang w:eastAsia="hr-HR"/>
          </w:rPr>
          <w:t>39/22</w:t>
        </w:r>
      </w:hyperlink>
      <w:r w:rsidRPr="00AB7263">
        <w:rPr>
          <w:rFonts w:ascii="Open Sans" w:eastAsia="Times New Roman" w:hAnsi="Open Sans" w:cs="Open Sans"/>
          <w:color w:val="414145"/>
          <w:sz w:val="21"/>
          <w:szCs w:val="21"/>
          <w:lang w:eastAsia="hr-HR"/>
        </w:rPr>
        <w:t>)</w:t>
      </w:r>
    </w:p>
    <w:p w14:paraId="6A4C876E"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(1) Za upis kandidata u programe likovne umjetnosti i dizajna provjerava se darovitost kandidata za likovno izražavanje jednom od likovnih tehnika koju određuje srednja škola. Navedenom provjerom moguće je ostvariti najviše 120 bodova, a minimalni bodovni prag na navedenoj provjeri je 70 bodova.</w:t>
      </w:r>
    </w:p>
    <w:p w14:paraId="14F47269"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(2) Konačna ljestvica poretka kandidata utvrđuje se zbrajanjem bodova dobivenih provjerom darovitosti za likovno izražavanje i zajedničkog i dodatnog elementa vrednovanja.</w:t>
      </w:r>
    </w:p>
    <w:p w14:paraId="00D5EBC2"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(3) Ako dva ili više kandidata na zadnjem mjestu ljestvice poretka imaju isti ukupan broj bodova, upisuje se onaj kandidat koji je ostvario veći broj bodova iz provjere darovitosti za likovno izražavanje.</w:t>
      </w:r>
    </w:p>
    <w:p w14:paraId="29C21B23" w14:textId="77777777" w:rsidR="00AB7263" w:rsidRPr="00AB7263" w:rsidRDefault="00AB7263" w:rsidP="00AB7263">
      <w:pPr>
        <w:spacing w:after="48" w:line="240" w:lineRule="auto"/>
        <w:ind w:firstLine="408"/>
        <w:rPr>
          <w:rFonts w:ascii="Times New Roman" w:eastAsia="Times New Roman" w:hAnsi="Times New Roman" w:cs="Times New Roman"/>
          <w:color w:val="231F20"/>
          <w:sz w:val="24"/>
          <w:szCs w:val="24"/>
          <w:lang w:eastAsia="hr-HR"/>
        </w:rPr>
      </w:pPr>
      <w:r w:rsidRPr="00AB7263">
        <w:rPr>
          <w:rFonts w:ascii="Times New Roman" w:eastAsia="Times New Roman" w:hAnsi="Times New Roman" w:cs="Times New Roman"/>
          <w:color w:val="231F20"/>
          <w:sz w:val="24"/>
          <w:szCs w:val="24"/>
          <w:lang w:eastAsia="hr-HR"/>
        </w:rPr>
        <w:t>(4) Ako dva ili više kandidata na zadnjem mjestu ljestvice poretka imaju isti ukupan broj bodova iz zajedničkog i dodatnog elementa vrednovanja i imaju isti broj bodova iz provjere darovitosti za likovno izražavanje, upisuju se onaj kandidat koji ostvaruje pravo na poseban element vrednovanja.</w:t>
      </w:r>
    </w:p>
    <w:p w14:paraId="1697E742" w14:textId="77777777" w:rsidR="00AB7263" w:rsidRPr="00AB7263" w:rsidRDefault="00AB7263" w:rsidP="00AB7263">
      <w:pPr>
        <w:spacing w:after="48" w:line="240" w:lineRule="auto"/>
        <w:ind w:firstLine="408"/>
        <w:rPr>
          <w:rFonts w:ascii="Times New Roman" w:eastAsia="Times New Roman" w:hAnsi="Times New Roman" w:cs="Times New Roman"/>
          <w:color w:val="231F20"/>
          <w:sz w:val="24"/>
          <w:szCs w:val="24"/>
          <w:lang w:eastAsia="hr-HR"/>
        </w:rPr>
      </w:pPr>
      <w:r w:rsidRPr="00AB7263">
        <w:rPr>
          <w:rFonts w:ascii="Times New Roman" w:eastAsia="Times New Roman" w:hAnsi="Times New Roman" w:cs="Times New Roman"/>
          <w:color w:val="231F20"/>
          <w:sz w:val="24"/>
          <w:szCs w:val="24"/>
          <w:lang w:eastAsia="hr-HR"/>
        </w:rPr>
        <w:t>(5) Ako dva ili više kandidata na zadnjem mjestu ljestvice poretka imaju isti ukupan broj bodova iz zajedničkog i dodatnog elementa i imaju isti broj bodova iz provjere darovitosti za likovno izražavanje te ostvaruju pravo na poseban element vrednovanja upisuju se svi kandidati.</w:t>
      </w:r>
    </w:p>
    <w:p w14:paraId="5C8F9046"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Vrednovanje uspjeha radi upisa u programe glazbene umjetnosti</w:t>
      </w:r>
    </w:p>
    <w:p w14:paraId="0A9EC5F5"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11. (NN </w:t>
      </w:r>
      <w:hyperlink r:id="rId16" w:history="1">
        <w:r w:rsidRPr="00AB7263">
          <w:rPr>
            <w:rFonts w:ascii="Open Sans" w:eastAsia="Times New Roman" w:hAnsi="Open Sans" w:cs="Open Sans"/>
            <w:b/>
            <w:bCs/>
            <w:color w:val="497FD7"/>
            <w:sz w:val="21"/>
            <w:szCs w:val="21"/>
            <w:u w:val="single"/>
            <w:lang w:eastAsia="hr-HR"/>
          </w:rPr>
          <w:t>39/22</w:t>
        </w:r>
      </w:hyperlink>
      <w:r w:rsidRPr="00AB7263">
        <w:rPr>
          <w:rFonts w:ascii="Open Sans" w:eastAsia="Times New Roman" w:hAnsi="Open Sans" w:cs="Open Sans"/>
          <w:color w:val="414145"/>
          <w:sz w:val="21"/>
          <w:szCs w:val="21"/>
          <w:lang w:eastAsia="hr-HR"/>
        </w:rPr>
        <w:t>)</w:t>
      </w:r>
    </w:p>
    <w:p w14:paraId="081CEED2"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(1) Kandidatu koji je uspješno završio osnovno glazbeno obrazovanje ili drugi (II.) pripremni razred srednje glazbene škole za upis u I. razred četverogodišnjega srednjega glazbenog programa vrednuju se:</w:t>
      </w:r>
    </w:p>
    <w:p w14:paraId="5902A536"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zajednički i dodatni element vrednovanja;</w:t>
      </w:r>
    </w:p>
    <w:p w14:paraId="5588E7ED"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postignuti opći uspjeh iz petoga i šestoga razreda glazbene škole ili dva razreda pripremnoga obrazovanja;</w:t>
      </w:r>
    </w:p>
    <w:p w14:paraId="00364ABD"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konačni rezultati ostvareni na prijamnome ispitu glazbene darovitosti.</w:t>
      </w:r>
    </w:p>
    <w:p w14:paraId="3DDDEDC2"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xml:space="preserve">(2) Prijamni ispit za instrumentaliste i pjevače obuhvaća provjeru iz temeljnoga predmeta struke i </w:t>
      </w:r>
      <w:proofErr w:type="spellStart"/>
      <w:r w:rsidRPr="00AB7263">
        <w:rPr>
          <w:rFonts w:ascii="Open Sans" w:eastAsia="Times New Roman" w:hAnsi="Open Sans" w:cs="Open Sans"/>
          <w:color w:val="414145"/>
          <w:sz w:val="21"/>
          <w:szCs w:val="21"/>
          <w:lang w:eastAsia="hr-HR"/>
        </w:rPr>
        <w:t>solfeggia</w:t>
      </w:r>
      <w:proofErr w:type="spellEnd"/>
      <w:r w:rsidRPr="00AB7263">
        <w:rPr>
          <w:rFonts w:ascii="Open Sans" w:eastAsia="Times New Roman" w:hAnsi="Open Sans" w:cs="Open Sans"/>
          <w:color w:val="414145"/>
          <w:sz w:val="21"/>
          <w:szCs w:val="21"/>
          <w:lang w:eastAsia="hr-HR"/>
        </w:rPr>
        <w:t xml:space="preserve">, za teoretičara provjeru iz klavira i </w:t>
      </w:r>
      <w:proofErr w:type="spellStart"/>
      <w:r w:rsidRPr="00AB7263">
        <w:rPr>
          <w:rFonts w:ascii="Open Sans" w:eastAsia="Times New Roman" w:hAnsi="Open Sans" w:cs="Open Sans"/>
          <w:color w:val="414145"/>
          <w:sz w:val="21"/>
          <w:szCs w:val="21"/>
          <w:lang w:eastAsia="hr-HR"/>
        </w:rPr>
        <w:t>solfeggia</w:t>
      </w:r>
      <w:proofErr w:type="spellEnd"/>
      <w:r w:rsidRPr="00AB7263">
        <w:rPr>
          <w:rFonts w:ascii="Open Sans" w:eastAsia="Times New Roman" w:hAnsi="Open Sans" w:cs="Open Sans"/>
          <w:color w:val="414145"/>
          <w:sz w:val="21"/>
          <w:szCs w:val="21"/>
          <w:lang w:eastAsia="hr-HR"/>
        </w:rPr>
        <w:t xml:space="preserve">, a za graditelja i restauratora glazbala provjeru </w:t>
      </w:r>
      <w:proofErr w:type="spellStart"/>
      <w:r w:rsidRPr="00AB7263">
        <w:rPr>
          <w:rFonts w:ascii="Open Sans" w:eastAsia="Times New Roman" w:hAnsi="Open Sans" w:cs="Open Sans"/>
          <w:color w:val="414145"/>
          <w:sz w:val="21"/>
          <w:szCs w:val="21"/>
          <w:lang w:eastAsia="hr-HR"/>
        </w:rPr>
        <w:t>solfeggia</w:t>
      </w:r>
      <w:proofErr w:type="spellEnd"/>
      <w:r w:rsidRPr="00AB7263">
        <w:rPr>
          <w:rFonts w:ascii="Open Sans" w:eastAsia="Times New Roman" w:hAnsi="Open Sans" w:cs="Open Sans"/>
          <w:color w:val="414145"/>
          <w:sz w:val="21"/>
          <w:szCs w:val="21"/>
          <w:lang w:eastAsia="hr-HR"/>
        </w:rPr>
        <w:t xml:space="preserve"> i ocjenu priloženog rada (izgrađeno glazbalo). Na temelju prijamnoga ispita moguće je steći najviše 170 bodova, a minimalni prag na prijamnome ispitu je 70 bodova.</w:t>
      </w:r>
    </w:p>
    <w:p w14:paraId="05F6EEB1"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xml:space="preserve">(3) Ako dva ili više kandidata na zadnjem mjestu ljestvice </w:t>
      </w:r>
      <w:proofErr w:type="spellStart"/>
      <w:r w:rsidRPr="00AB7263">
        <w:rPr>
          <w:rFonts w:ascii="Open Sans" w:eastAsia="Times New Roman" w:hAnsi="Open Sans" w:cs="Open Sans"/>
          <w:color w:val="414145"/>
          <w:sz w:val="21"/>
          <w:szCs w:val="21"/>
          <w:lang w:eastAsia="hr-HR"/>
        </w:rPr>
        <w:t>poretkaimaju</w:t>
      </w:r>
      <w:proofErr w:type="spellEnd"/>
      <w:r w:rsidRPr="00AB7263">
        <w:rPr>
          <w:rFonts w:ascii="Open Sans" w:eastAsia="Times New Roman" w:hAnsi="Open Sans" w:cs="Open Sans"/>
          <w:color w:val="414145"/>
          <w:sz w:val="21"/>
          <w:szCs w:val="21"/>
          <w:lang w:eastAsia="hr-HR"/>
        </w:rPr>
        <w:t xml:space="preserve"> isti ukupan broj bodova, upisuje se onaj kandidat koji je ostvario veći broj bodova na prijamnome ispitu glazbene darovitosti.</w:t>
      </w:r>
    </w:p>
    <w:p w14:paraId="6D2FBB8A"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xml:space="preserve">(4) Ako dva ili više kandidata na zadnjem mjestu ljestvice poretka imaju isti ukupan broj bodova iz zajedničkog i dodatnog elementa vrednovanja i imaju isti broj bodova iz provjere </w:t>
      </w:r>
      <w:r w:rsidRPr="00AB7263">
        <w:rPr>
          <w:rFonts w:ascii="Open Sans" w:eastAsia="Times New Roman" w:hAnsi="Open Sans" w:cs="Open Sans"/>
          <w:color w:val="414145"/>
          <w:sz w:val="21"/>
          <w:szCs w:val="21"/>
          <w:lang w:eastAsia="hr-HR"/>
        </w:rPr>
        <w:lastRenderedPageBreak/>
        <w:t>glazbene darovitosti, upisuju se onaj kandidat koji ostvaruju pravo na poseban element vrednovanja.</w:t>
      </w:r>
    </w:p>
    <w:p w14:paraId="5B3A82A9"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(5) Ako dva ili više kandidata na zadnjem mjestu ljestvice poretka imaju isti ukupan broj bodova iz zajedničkog i dodatnog elementa vrednovanja i imaju isti broj bodova iz provjere glazbene darovitosti te ostvaruju pravo na poseban element vrednovanja upisuju se svi kandidati.</w:t>
      </w:r>
    </w:p>
    <w:p w14:paraId="6EB36C07"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(6) Kandidat koji nije pohađao osnovnu glazbenu školu upisuje prvi pripremni razred srednje glazbene škole nakon prijamnoga ispita koji sadrži provjeru sluha, glazbenog pamćenja i ritma, a za glazbenika pjevača i izvedbu dviju vokalnih skladbi po slobodnome izboru. Na prijamnome ispitu može se ostvariti najviše 180 bodova, a minimalni prag je 100 bodova.</w:t>
      </w:r>
    </w:p>
    <w:p w14:paraId="74443230"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Vrednovanje uspjeha za upis u programe plesne umjetnosti</w:t>
      </w:r>
    </w:p>
    <w:p w14:paraId="77466022"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12. (NN </w:t>
      </w:r>
      <w:hyperlink r:id="rId17" w:history="1">
        <w:r w:rsidRPr="00AB7263">
          <w:rPr>
            <w:rFonts w:ascii="Open Sans" w:eastAsia="Times New Roman" w:hAnsi="Open Sans" w:cs="Open Sans"/>
            <w:b/>
            <w:bCs/>
            <w:color w:val="497FD7"/>
            <w:sz w:val="21"/>
            <w:szCs w:val="21"/>
            <w:u w:val="single"/>
            <w:lang w:eastAsia="hr-HR"/>
          </w:rPr>
          <w:t>39/22</w:t>
        </w:r>
      </w:hyperlink>
      <w:r w:rsidRPr="00AB7263">
        <w:rPr>
          <w:rFonts w:ascii="Open Sans" w:eastAsia="Times New Roman" w:hAnsi="Open Sans" w:cs="Open Sans"/>
          <w:color w:val="414145"/>
          <w:sz w:val="21"/>
          <w:szCs w:val="21"/>
          <w:lang w:eastAsia="hr-HR"/>
        </w:rPr>
        <w:t>)</w:t>
      </w:r>
    </w:p>
    <w:p w14:paraId="61E2EC90"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(1) Kandidatu koji je uspješno završio osnovno plesno odnosno baletno obrazovanje ili pripremni razred srednje plesne škole za upis u I. razred četverogodišnjega srednjega plesnog programa vrednuju se:</w:t>
      </w:r>
    </w:p>
    <w:p w14:paraId="599A4606"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zajednički i dodatni element vrednovanja;</w:t>
      </w:r>
    </w:p>
    <w:p w14:paraId="0E7D3BBC"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opći uspjeh iz četvrtoga razreda plesne odnosno baletne škole ili uspjeh iz pripremnoga razreda;</w:t>
      </w:r>
    </w:p>
    <w:p w14:paraId="75694FD2"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konačni rezultati ostvareni na prijamnome ispitu plesne darovitosti koji uključuje uspjeh iz glavnih plesnih predmeta koje utvrđuje škola i objavljuje u sklopu natječaja za upis.</w:t>
      </w:r>
    </w:p>
    <w:p w14:paraId="642811CA"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(2) Na temelju prijamnoga ispita moguće je steći najviše 115 bodova, a minimalni prag na prijamnome ispitu je 70 bodova.</w:t>
      </w:r>
    </w:p>
    <w:p w14:paraId="703F5ECD"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(3) Ako dva ili više kandidata na zadnjem mjestu ljestvice poretka imaju isti ukupan broj bodova, upisuje se onaj kandidat koji je ostvario veći broj bodova na prijamnome ispitu plesne darovitosti.</w:t>
      </w:r>
    </w:p>
    <w:p w14:paraId="4A24D84E"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(4) Ako dva ili više kandidata na zadnjem mjestu ljestvice poretka imaju isti ukupan broj bodova iz zajedničkog i dodatnog elementa vrednovanja i imaju isti broj bodova iz provjere plesne darovitosti, upisuju se onaj kandidat koji ostvaruje pravo na poseban element vrednovanja.</w:t>
      </w:r>
    </w:p>
    <w:p w14:paraId="028B0FAB"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(5) Ako dva ili više kandidata na zadnjem mjestu ljestvice poretka imaju isti ukupan broj bodova iz zajedničkog i dodatnog elementa vrednovanja i imaju isti broj bodova iz provjere plesne darovitosti te ostvaruju pravo na poseban element vrednovanja upisuju se svi kandidati</w:t>
      </w:r>
    </w:p>
    <w:p w14:paraId="2BE4B2BE"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(6) Kandidat koji nije pohađao osnovnu plesnu školu upisuje pripremni razred srednje plesne škole nakon položenoga prijamnog ispita plesne darovitosti. Na prijamnome ispitu može se ostvariti najviše 120 bodova, a minimalni prag je 70 bodova.</w:t>
      </w:r>
    </w:p>
    <w:p w14:paraId="7FA9EF86"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(7) Izbor kandidata za upis u programe plesne umjetnosti utvrđuje se i na temelju zdravstvene sposobnosti kandidata za obavljanje poslova i radnih zadaća u odabranome programu. Zdravstvena sposobnost kandidata za obavljanje poslova i radnih zadaća uvjet je za prijavu u odabrani program i dokazuje se potvrdom liječnika specijalista (ortopeda).</w:t>
      </w:r>
    </w:p>
    <w:p w14:paraId="3556E9FB"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Vrednovanje uspjeha iznimno darovitih kandidata</w:t>
      </w:r>
    </w:p>
    <w:p w14:paraId="625B173A"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lastRenderedPageBreak/>
        <w:t>Članak 13.</w:t>
      </w:r>
    </w:p>
    <w:p w14:paraId="5B96EC21"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Na temelju iznimne darovitosti, a koju je pokazao na provjeri darovitosti koju provodi glazbena ili plesna škola, uz suglasnost nastavničkog vijeća, u pripremni program srednje škole odnosno u prvi razred srednje glazbene ili plesne škole može se upisati i kandidat koji još nije završio završni razred općeobrazovnoga osnovnog obrazovanja.</w:t>
      </w:r>
    </w:p>
    <w:p w14:paraId="47ED8295"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Vrednovanje uspjeha za upis u razredne odjele za sportaše</w:t>
      </w:r>
    </w:p>
    <w:p w14:paraId="7DB76ABD"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14. (NN </w:t>
      </w:r>
      <w:hyperlink r:id="rId18" w:history="1">
        <w:r w:rsidRPr="00AB7263">
          <w:rPr>
            <w:rFonts w:ascii="Open Sans" w:eastAsia="Times New Roman" w:hAnsi="Open Sans" w:cs="Open Sans"/>
            <w:b/>
            <w:bCs/>
            <w:color w:val="497FD7"/>
            <w:sz w:val="21"/>
            <w:szCs w:val="21"/>
            <w:u w:val="single"/>
            <w:lang w:eastAsia="hr-HR"/>
          </w:rPr>
          <w:t>39/22</w:t>
        </w:r>
      </w:hyperlink>
      <w:r w:rsidRPr="00AB7263">
        <w:rPr>
          <w:rFonts w:ascii="Open Sans" w:eastAsia="Times New Roman" w:hAnsi="Open Sans" w:cs="Open Sans"/>
          <w:color w:val="414145"/>
          <w:sz w:val="21"/>
          <w:szCs w:val="21"/>
          <w:lang w:eastAsia="hr-HR"/>
        </w:rPr>
        <w:t>)</w:t>
      </w:r>
    </w:p>
    <w:p w14:paraId="0086C1FC"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(1) Pravo prijave za upis u razredne odjele za sportaše ima kandidat koji je uvršten na rang-listu određenoga nacionalnoga sportskoga saveza.</w:t>
      </w:r>
    </w:p>
    <w:p w14:paraId="4CCC949F"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(2) Bodovanje za upis kandidata u I. razred razrednih odjela za sportaše provodi se na sljedeći način:</w:t>
      </w:r>
    </w:p>
    <w:p w14:paraId="5F6E7AD1"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maksimalan broj bodova koje kandidat za upis u ove programe može ostvariti na temelju kriterija sportske uspješnosti i uspjeha u prethodnom obrazovanju je 160;</w:t>
      </w:r>
    </w:p>
    <w:p w14:paraId="2C6A8E2D"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od navedenoga maksimalnog broja bodova, do 80 bodova kandidat ostvaruje na temelju kriterija sportske uspješnosti, prema izračunu opisanome u stavku 5. ovoga članka;</w:t>
      </w:r>
    </w:p>
    <w:p w14:paraId="0EDD1D8E"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daljnjih najviše 80 bodova kandidat ostvaruje na temelju zajedničkoga elementa vrednovanja uspjeha u prethodnom školovanju.</w:t>
      </w:r>
    </w:p>
    <w:p w14:paraId="53C395D2"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Konačna ljestvica poretka kandidata utvrđuje se zbrajanjem bodova dobivenih prema kriterijima sportske uspješnosti te zajedničkog i dodatnog elementa vrednovanja.</w:t>
      </w:r>
    </w:p>
    <w:p w14:paraId="11576CD6"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(3) Izračun broja bodova kandidata prema kriterijima sportske uspješnosti uzima u obzir sljedeće parametre:</w:t>
      </w:r>
    </w:p>
    <w:p w14:paraId="61F71586"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1. položaj pojedinoga kandidata na rang-listi matičnoga nacionalnoga sportskog saveza;</w:t>
      </w:r>
    </w:p>
    <w:p w14:paraId="5F018FF7"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2. ukupan broj kandidata na rang-listi matičnoga nacionalnoga sportskog saveza;</w:t>
      </w:r>
    </w:p>
    <w:p w14:paraId="59FCF236"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3. skupina u koju je pojedini sport razvrstan, sukladno odluci Povjerenstva za upis učenika u I. razred srednje škole u tekućoj školskoj godini za razredne odjele za sportaše.</w:t>
      </w:r>
    </w:p>
    <w:p w14:paraId="57E4E8A4"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4. rang-liste kandidata za svaki nacionalni sportski savez jedinstvene su u smislu da obuhvaćaju i ženske i muške kandidate.</w:t>
      </w:r>
    </w:p>
    <w:p w14:paraId="03BDD26B"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(4) Nacionalni sportski savezi provode rangiranje kandidata na temelju kriterija sportske uspješnosti. Kriterije sportske uspješnosti za svaki pojedini sport autonomno utvrđuju odgovarajući nacionalni sportski savezi te ih objavljuju na svojim mrežnim stranicama i dostavljaju Ministarstvu.</w:t>
      </w:r>
    </w:p>
    <w:p w14:paraId="243E097F"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(5) Izračun broja bodova prema kriteriju sportske uspješnosti obavljat će se prema sljedećim izračunima:</w:t>
      </w:r>
    </w:p>
    <w:p w14:paraId="7AFF1092" w14:textId="77777777" w:rsidR="00AB7263" w:rsidRPr="00AB7263" w:rsidRDefault="00AB7263" w:rsidP="00AB7263">
      <w:pPr>
        <w:spacing w:after="0"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noProof/>
          <w:color w:val="414145"/>
          <w:sz w:val="21"/>
          <w:szCs w:val="21"/>
          <w:lang w:eastAsia="hr-HR"/>
        </w:rPr>
        <w:drawing>
          <wp:inline distT="0" distB="0" distL="0" distR="0" wp14:anchorId="17D7D68E" wp14:editId="4E4ECB0B">
            <wp:extent cx="4762500" cy="122872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1228725"/>
                    </a:xfrm>
                    <a:prstGeom prst="rect">
                      <a:avLst/>
                    </a:prstGeom>
                    <a:noFill/>
                    <a:ln>
                      <a:noFill/>
                    </a:ln>
                  </pic:spPr>
                </pic:pic>
              </a:graphicData>
            </a:graphic>
          </wp:inline>
        </w:drawing>
      </w:r>
    </w:p>
    <w:p w14:paraId="262B9D2A"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gdje je:</w:t>
      </w:r>
    </w:p>
    <w:p w14:paraId="72390BED"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lastRenderedPageBreak/>
        <w:t>b                  konačan broj bodova pojedinačnoga kandidata na temelju kriterija sportske uspješnosti;</w:t>
      </w:r>
    </w:p>
    <w:p w14:paraId="118B81BB"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N[S]             ukupan broj svih kandidata na rang-listi nacionalnoga saveza za sport S;</w:t>
      </w:r>
    </w:p>
    <w:p w14:paraId="2FFC9583"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n                  mjesto u poretku pojedinačnoga kandidata na rang--listi odgovarajućega nacionalnog saveza;</w:t>
      </w:r>
    </w:p>
    <w:p w14:paraId="08008D5F"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proofErr w:type="spellStart"/>
      <w:r w:rsidRPr="00AB7263">
        <w:rPr>
          <w:rFonts w:ascii="Open Sans" w:eastAsia="Times New Roman" w:hAnsi="Open Sans" w:cs="Open Sans"/>
          <w:color w:val="414145"/>
          <w:sz w:val="21"/>
          <w:szCs w:val="21"/>
          <w:lang w:eastAsia="hr-HR"/>
        </w:rPr>
        <w:t>Bmin</w:t>
      </w:r>
      <w:proofErr w:type="spellEnd"/>
      <w:r w:rsidRPr="00AB7263">
        <w:rPr>
          <w:rFonts w:ascii="Open Sans" w:eastAsia="Times New Roman" w:hAnsi="Open Sans" w:cs="Open Sans"/>
          <w:color w:val="414145"/>
          <w:sz w:val="21"/>
          <w:szCs w:val="21"/>
          <w:lang w:eastAsia="hr-HR"/>
        </w:rPr>
        <w:t>            minimalan broj bodova za kandidate s rang-liste nacionalnoga saveza – smatra se da ga je kandidat                     automatski ostvario samim uvrštenjem na   rang-listu saveza – isti je za sve skupine sportova te iznosi 56 bodova;</w:t>
      </w:r>
    </w:p>
    <w:p w14:paraId="183C33A1"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proofErr w:type="spellStart"/>
      <w:r w:rsidRPr="00AB7263">
        <w:rPr>
          <w:rFonts w:ascii="Open Sans" w:eastAsia="Times New Roman" w:hAnsi="Open Sans" w:cs="Open Sans"/>
          <w:color w:val="414145"/>
          <w:sz w:val="21"/>
          <w:szCs w:val="21"/>
          <w:lang w:eastAsia="hr-HR"/>
        </w:rPr>
        <w:t>Bmax</w:t>
      </w:r>
      <w:proofErr w:type="spellEnd"/>
      <w:r w:rsidRPr="00AB7263">
        <w:rPr>
          <w:rFonts w:ascii="Open Sans" w:eastAsia="Times New Roman" w:hAnsi="Open Sans" w:cs="Open Sans"/>
          <w:color w:val="414145"/>
          <w:sz w:val="21"/>
          <w:szCs w:val="21"/>
          <w:lang w:eastAsia="hr-HR"/>
        </w:rPr>
        <w:t>[X]      maksimalan broj bodova za kandidate s rang-liste nacionalnoga saveza sporta iz skupine X – za prvu skupinu                     sportova (X = 1) iznosi 80 bodova, za drugu (X = 2) 72 boda, za treću (X = 3) 64 bodova;</w:t>
      </w:r>
    </w:p>
    <w:p w14:paraId="58957137"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xml:space="preserve">M[X]            najveći dopušteni ukupan broj kandidata s brojem bodova većim od </w:t>
      </w:r>
      <w:proofErr w:type="spellStart"/>
      <w:r w:rsidRPr="00AB7263">
        <w:rPr>
          <w:rFonts w:ascii="Open Sans" w:eastAsia="Times New Roman" w:hAnsi="Open Sans" w:cs="Open Sans"/>
          <w:color w:val="414145"/>
          <w:sz w:val="21"/>
          <w:szCs w:val="21"/>
          <w:lang w:eastAsia="hr-HR"/>
        </w:rPr>
        <w:t>Bmin</w:t>
      </w:r>
      <w:proofErr w:type="spellEnd"/>
      <w:r w:rsidRPr="00AB7263">
        <w:rPr>
          <w:rFonts w:ascii="Open Sans" w:eastAsia="Times New Roman" w:hAnsi="Open Sans" w:cs="Open Sans"/>
          <w:color w:val="414145"/>
          <w:sz w:val="21"/>
          <w:szCs w:val="21"/>
          <w:lang w:eastAsia="hr-HR"/>
        </w:rPr>
        <w:t xml:space="preserve"> za kandidate s rang-liste                     nacionalnoga saveza za sport iz skupine X – za prvu skupinu sportova (X = 1) iznosi 24 kandidata, za drugu                    (X = 2) 16 kandidata, za treću (X = 3) 8 kandidata.</w:t>
      </w:r>
    </w:p>
    <w:p w14:paraId="782540FD"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(6) Ako dva ili više kandidata na zadnjem mjestu ljestvice poretka imaju isti ukupan broj bodova iz zajedničko i dodatnog elementa vrednovanja upisuje se onaj kandidat koji je ostvario veći broj bodova iz kriterija sportske uspješnosti.</w:t>
      </w:r>
    </w:p>
    <w:p w14:paraId="483B2D56"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(7) Ako dva ili više kandidata na zadnjem mjestu ljestvice poretka imaju isti ukupan broj bodova iz zajedničkog i dodatnog elementa vrednovanja i imaju isti broj bodova iz kriterija sportske uspješnosti, upisuju se onaj kandidat koji ostvaruje pravo na poseban element vrednovanja.</w:t>
      </w:r>
    </w:p>
    <w:p w14:paraId="214706CC"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(8) Ako dva ili više kandidata na zadnjem mjestu ljestvice poretka imaju isti ukupan broj bodova iz zajedničkog i dodatnog elementa vrednovanja i imaju isti broj bodova iz kriterija sportske uspješnosti te ostvaruju pravo na poseban element vrednovanja upisuju se svi kandidati.</w:t>
      </w:r>
    </w:p>
    <w:p w14:paraId="3CDC8FAF"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Vrednovanje rezultata kandidata postignutih na natjecanjima iz znanja i u sportu</w:t>
      </w:r>
    </w:p>
    <w:p w14:paraId="748102AA"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15.</w:t>
      </w:r>
    </w:p>
    <w:p w14:paraId="145028A6"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Kandidatu se na osnovi članaka 16. i 17. ovoga pravilnika vrednuje isključivo jedno (najpovoljnije) postignuće.</w:t>
      </w:r>
    </w:p>
    <w:p w14:paraId="62342991"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Vrednovanje rezultata kandidata postignutih na natjecanjima iz znanja</w:t>
      </w:r>
    </w:p>
    <w:p w14:paraId="062B8189"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16.</w:t>
      </w:r>
    </w:p>
    <w:p w14:paraId="4E1520C9"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(1) Pravo na izravan upis ili dodatne bodove ostvaruju kandidati na osnovi rezultata koje su postigli na:</w:t>
      </w:r>
    </w:p>
    <w:p w14:paraId="1B97ABD1"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natjecanjima u znanju iz nastavnih predmeta: Hrvatskoga jezika, Matematike, prvoga stranog jezika;</w:t>
      </w:r>
    </w:p>
    <w:p w14:paraId="24A740E0"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natjecanjima u znanju iz dvaju nastavnih predmeta posebno značajnih za upis u skladu s Popisom predmeta posebno važnih za upis;</w:t>
      </w:r>
    </w:p>
    <w:p w14:paraId="3F70A3F2"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lastRenderedPageBreak/>
        <w:t>• jednome natjecanju iz znanja koji samostalno određuje srednja škola iz Kataloga natjecanja i smotri učenika i učenica osnovnih i srednjih škola Republike Hrvatske, a koja se provode u organizaciji Agencije za odgoj i obrazovanje.</w:t>
      </w:r>
    </w:p>
    <w:p w14:paraId="5F4E5B32"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(2) Vrednuju se i boduju rezultati kandidata postignutih na državnim natjecanjima iz znanja iz Kataloga natjecanja i smotri učenika i učenica osnovnih i srednjih škola Republike Hrvatske, koja se provode u organizaciji Agencije za odgoj i obrazovanje, a koja je odobrilo Ministarstvo te međunarodnim natjecanjima koje verificira Agencija za odgoj i obrazovanje, a prema sljedećoj tablici:</w:t>
      </w:r>
    </w:p>
    <w:tbl>
      <w:tblPr>
        <w:tblW w:w="0" w:type="auto"/>
        <w:tblCellMar>
          <w:left w:w="0" w:type="dxa"/>
          <w:right w:w="0" w:type="dxa"/>
        </w:tblCellMar>
        <w:tblLook w:val="04A0" w:firstRow="1" w:lastRow="0" w:firstColumn="1" w:lastColumn="0" w:noHBand="0" w:noVBand="1"/>
      </w:tblPr>
      <w:tblGrid>
        <w:gridCol w:w="2580"/>
        <w:gridCol w:w="3140"/>
        <w:gridCol w:w="3336"/>
      </w:tblGrid>
      <w:tr w:rsidR="00AB7263" w:rsidRPr="00AB7263" w14:paraId="3E098100" w14:textId="77777777" w:rsidTr="00AB7263">
        <w:tc>
          <w:tcPr>
            <w:tcW w:w="0" w:type="auto"/>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C0D76A9"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Državna/međunarodna natjecanja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B8E2802"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Prvo, drugo ili treće osvojeno mjesto kao pojedinac u 5., 6., 7. ili 8. razredu osnovnog obrazovanja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7A19CCE"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Izravan upis (pod uvjetom da zadovolje na ispitu sposobnosti i darovitosti u školama u kojima je to uvjet za upis)</w:t>
            </w:r>
          </w:p>
        </w:tc>
      </w:tr>
      <w:tr w:rsidR="00AB7263" w:rsidRPr="00AB7263" w14:paraId="7B1F1C6A" w14:textId="77777777" w:rsidTr="00AB7263">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0DA6A1A3"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C93AC60"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Prvo osvojeno mjesto kao član skupine u 5., 6., 7. ili 8. razredu osnovnog obrazovanja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848C7A0"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 boda</w:t>
            </w:r>
          </w:p>
        </w:tc>
      </w:tr>
      <w:tr w:rsidR="00AB7263" w:rsidRPr="00AB7263" w14:paraId="4B383CAD" w14:textId="77777777" w:rsidTr="00AB7263">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7391FFCC"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30F2786"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Drugo osvojeno mjesto kao član skupine u 5., 6., 7. ili 8. razredu osnovnog obrazovanja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76C279B"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3 boda</w:t>
            </w:r>
          </w:p>
        </w:tc>
      </w:tr>
      <w:tr w:rsidR="00AB7263" w:rsidRPr="00AB7263" w14:paraId="57AC638B" w14:textId="77777777" w:rsidTr="00AB7263">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477C8ABF"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FE38952"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Treće osvojeno mjesto kao član skupine u 5., 6., 7. ili 8. razredu osnovnog obrazovanja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717D0A7"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2 boda</w:t>
            </w:r>
          </w:p>
        </w:tc>
      </w:tr>
      <w:tr w:rsidR="00AB7263" w:rsidRPr="00AB7263" w14:paraId="1BEEEC12" w14:textId="77777777" w:rsidTr="00AB7263">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0B73B346"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0B14DDB"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Sudjelovanje kao pojedinac ili član skupine u 5., 6., 7. ili 8. razredu</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D04CB0F"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1 bod</w:t>
            </w:r>
          </w:p>
        </w:tc>
      </w:tr>
    </w:tbl>
    <w:p w14:paraId="37E33E6A"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Vrednovanje rezultata kandidata postignutih na sportskim natjecanjima</w:t>
      </w:r>
    </w:p>
    <w:p w14:paraId="23DE341D"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17.</w:t>
      </w:r>
    </w:p>
    <w:p w14:paraId="1E81FA94"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(1) Kandidatima se vrednuju rezultati koje su postigli u posljednja četiri razreda osnovnog obrazovanja na natjecanjima školskih sportskih društava koja su ustrojena prema Propisniku Državnoga prvenstva školskih sportskih društava Republike Hrvatske, a pod nadzorom natjecateljskog povjerenstva Hrvatskoga školskoga športskog saveza.</w:t>
      </w:r>
    </w:p>
    <w:p w14:paraId="7B76C286"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(2) Pravo na dodatne bodove kandidati ostvaruju na temelju službene evidencije o rezultatima održanih natjecanja školskih sportskih društava koju vodi Hrvatski školski športski savez (HŠŠS).</w:t>
      </w:r>
    </w:p>
    <w:tbl>
      <w:tblPr>
        <w:tblW w:w="0" w:type="auto"/>
        <w:tblCellMar>
          <w:left w:w="0" w:type="dxa"/>
          <w:right w:w="0" w:type="dxa"/>
        </w:tblCellMar>
        <w:tblLook w:val="04A0" w:firstRow="1" w:lastRow="0" w:firstColumn="1" w:lastColumn="0" w:noHBand="0" w:noVBand="1"/>
      </w:tblPr>
      <w:tblGrid>
        <w:gridCol w:w="2901"/>
        <w:gridCol w:w="5394"/>
        <w:gridCol w:w="761"/>
      </w:tblGrid>
      <w:tr w:rsidR="00AB7263" w:rsidRPr="00AB7263" w14:paraId="29D30960" w14:textId="77777777" w:rsidTr="00AB7263">
        <w:tc>
          <w:tcPr>
            <w:tcW w:w="0" w:type="auto"/>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61188D1"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Natjecanja školskih sportskih društava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9BA7066"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Učenici koji su na državnom natjecanju kao članovi ekipe osvojili prvo mjesto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076D4EB"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3 boda</w:t>
            </w:r>
          </w:p>
        </w:tc>
      </w:tr>
      <w:tr w:rsidR="00AB7263" w:rsidRPr="00AB7263" w14:paraId="6DAC6D7B" w14:textId="77777777" w:rsidTr="00AB7263">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201B5EBA"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50DB78C"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Učenici koji su na državnom natjecanju kao članovi ekipe osvojili drugo mjesto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A47559F"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2 boda</w:t>
            </w:r>
          </w:p>
        </w:tc>
      </w:tr>
      <w:tr w:rsidR="00AB7263" w:rsidRPr="00AB7263" w14:paraId="3620D754" w14:textId="77777777" w:rsidTr="00AB7263">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0AF0F4C8"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8EB621D"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Učenici koji su na državnom natjecanju kao članovi ekipe osvojili treće mjesto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91FDAFC"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1 bod</w:t>
            </w:r>
          </w:p>
        </w:tc>
      </w:tr>
    </w:tbl>
    <w:p w14:paraId="24F18CEE"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V. POSEBAN ELEMENT VREDNOVANJA KANDIDATA</w:t>
      </w:r>
    </w:p>
    <w:p w14:paraId="61B85103"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lastRenderedPageBreak/>
        <w:t>Članak 18. (NN </w:t>
      </w:r>
      <w:hyperlink r:id="rId20" w:history="1">
        <w:r w:rsidRPr="00AB7263">
          <w:rPr>
            <w:rFonts w:ascii="Open Sans" w:eastAsia="Times New Roman" w:hAnsi="Open Sans" w:cs="Open Sans"/>
            <w:b/>
            <w:bCs/>
            <w:color w:val="497FD7"/>
            <w:sz w:val="21"/>
            <w:szCs w:val="21"/>
            <w:u w:val="single"/>
            <w:lang w:eastAsia="hr-HR"/>
          </w:rPr>
          <w:t>39/22</w:t>
        </w:r>
      </w:hyperlink>
      <w:r w:rsidRPr="00AB7263">
        <w:rPr>
          <w:rFonts w:ascii="Open Sans" w:eastAsia="Times New Roman" w:hAnsi="Open Sans" w:cs="Open Sans"/>
          <w:color w:val="414145"/>
          <w:sz w:val="21"/>
          <w:szCs w:val="21"/>
          <w:lang w:eastAsia="hr-HR"/>
        </w:rPr>
        <w:t>)</w:t>
      </w:r>
    </w:p>
    <w:p w14:paraId="7708D606"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Kandidat ostvaruje pravo na poseban element vrednovanja ako:</w:t>
      </w:r>
    </w:p>
    <w:p w14:paraId="2907A0A3"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ima zdravstvene teškoće;</w:t>
      </w:r>
    </w:p>
    <w:p w14:paraId="24AA5BD1"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živi u otežanim uvjetima obrazovanja uzrokovanim nepovoljnim ekonomskim, socijalnim te odgojnim čimbenicima.</w:t>
      </w:r>
    </w:p>
    <w:p w14:paraId="36912928"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Vrednovanje uspjeha kandidata sa zdravstvenim teškoćama</w:t>
      </w:r>
    </w:p>
    <w:p w14:paraId="79E4C143"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19. (NN </w:t>
      </w:r>
      <w:hyperlink r:id="rId21" w:history="1">
        <w:r w:rsidRPr="00AB7263">
          <w:rPr>
            <w:rFonts w:ascii="Open Sans" w:eastAsia="Times New Roman" w:hAnsi="Open Sans" w:cs="Open Sans"/>
            <w:b/>
            <w:bCs/>
            <w:color w:val="497FD7"/>
            <w:sz w:val="21"/>
            <w:szCs w:val="21"/>
            <w:u w:val="single"/>
            <w:lang w:eastAsia="hr-HR"/>
          </w:rPr>
          <w:t>39/22</w:t>
        </w:r>
      </w:hyperlink>
      <w:r w:rsidRPr="00AB7263">
        <w:rPr>
          <w:rFonts w:ascii="Open Sans" w:eastAsia="Times New Roman" w:hAnsi="Open Sans" w:cs="Open Sans"/>
          <w:color w:val="414145"/>
          <w:sz w:val="21"/>
          <w:szCs w:val="21"/>
          <w:lang w:eastAsia="hr-HR"/>
        </w:rPr>
        <w:t>)</w:t>
      </w:r>
    </w:p>
    <w:p w14:paraId="57D73075"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(1) Kandidat sa zdravstvenim teškoćama je kandidat koji je osnovno obrazovanje završio po redovitome nastavnom planu i programu, a kojem su zdravstvene teškoće mogle utjecati na postizanje rezultata tijekom prethodnog razdoblja.</w:t>
      </w:r>
    </w:p>
    <w:p w14:paraId="756AE1ED"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(2) Brisan.</w:t>
      </w:r>
    </w:p>
    <w:p w14:paraId="206A30BE"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(3) Za ostvarivanje prava na poseban element vrednovanja kandidat iz stavka 1. ovoga članka obvezno prilaže:</w:t>
      </w:r>
    </w:p>
    <w:p w14:paraId="24DCB561"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stručno mišljenje Službe za profesionalno usmjeravanje Hrvatskoga zavoda za zapošljavanje o sposobnostima i motivaciji učenika za, u pravilu šest, a najmanje tri primjerena programa obrazovanja (strukovnoga – s oznakom programa, umjetničkoga i/ili gimnazijskoga) izdanoga na temelju stručnog mišljenja nadležnoga školskog liječnika koji je pratio kandidata tijekom prethodnog obrazovanja, a na temelju prethodno dostavljene specijalističke medicinske dokumentacije o zdravstvenim teškoćama koje su mogle utjecati na postizanje rezultata tijekom prethodnog obrazovanja, prema stručno usuglašenoj metodologiji te obrade multidisciplinarnog tima Hrvatskoga zavoda za zapošljavanje.</w:t>
      </w:r>
    </w:p>
    <w:p w14:paraId="4227013C"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Vrednovanje uspjeha kandidata koji žive u otežanim uvjetima obrazovanja uzrokovanim nepovoljnim ekonomskim, socijalnim te odgojnim čimbenicima</w:t>
      </w:r>
    </w:p>
    <w:p w14:paraId="6D674112"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20. (NN </w:t>
      </w:r>
      <w:hyperlink r:id="rId22" w:history="1">
        <w:r w:rsidRPr="00AB7263">
          <w:rPr>
            <w:rFonts w:ascii="Open Sans" w:eastAsia="Times New Roman" w:hAnsi="Open Sans" w:cs="Open Sans"/>
            <w:b/>
            <w:bCs/>
            <w:color w:val="497FD7"/>
            <w:sz w:val="21"/>
            <w:szCs w:val="21"/>
            <w:u w:val="single"/>
            <w:lang w:eastAsia="hr-HR"/>
          </w:rPr>
          <w:t>39/22</w:t>
        </w:r>
      </w:hyperlink>
      <w:r w:rsidRPr="00AB7263">
        <w:rPr>
          <w:rFonts w:ascii="Open Sans" w:eastAsia="Times New Roman" w:hAnsi="Open Sans" w:cs="Open Sans"/>
          <w:color w:val="414145"/>
          <w:sz w:val="21"/>
          <w:szCs w:val="21"/>
          <w:lang w:eastAsia="hr-HR"/>
        </w:rPr>
        <w:t>)</w:t>
      </w:r>
    </w:p>
    <w:p w14:paraId="2D384D6C"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(1) Brisan.</w:t>
      </w:r>
    </w:p>
    <w:p w14:paraId="63FEE1B4"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(2) Kandidat živi u otežanim uvjetima obrazovanja uzrokovanim ekonomskim, socijalnim te odgojnim čimbenicima, a koji su mogli utjecati na njegov školski uspjeh u osnovnoj školi ako:</w:t>
      </w:r>
    </w:p>
    <w:p w14:paraId="44259C71"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živi uz jednoga i/ili oba roditelja/skrbnika s dugotrajnom teškom bolesti;</w:t>
      </w:r>
    </w:p>
    <w:p w14:paraId="71EF8406"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živi uz oba roditelja/skrbnika koji se prema zakonu koji regulira poticanje zapošljavanja smatraju dugotrajno nezaposlenim osobama;</w:t>
      </w:r>
    </w:p>
    <w:p w14:paraId="0CA8C661"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živi uz samohranoga roditelja/skrbnika (roditelj/skrbnik koji nije u braku i ne živi u izvanbračnoj zajednici, a sam se skrbi o svome djetetu i uzdržava ga) koji je korisnik socijalne skrbi sukladno zakonu koji uređuje socijalnu skrb i posjeduje rješenje ili drugi upravni akt centra za socijalnu skrb ili nadležnoga tijela u jedinici lokalne ili područne (regionalne) jedinice i Grada Zagreba o pravu samohranoga roditelja kao korisnika socijalne skrbi;</w:t>
      </w:r>
    </w:p>
    <w:p w14:paraId="41CF35CE"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mu je jedan roditelj/</w:t>
      </w:r>
      <w:proofErr w:type="spellStart"/>
      <w:r w:rsidRPr="00AB7263">
        <w:rPr>
          <w:rFonts w:ascii="Open Sans" w:eastAsia="Times New Roman" w:hAnsi="Open Sans" w:cs="Open Sans"/>
          <w:color w:val="414145"/>
          <w:sz w:val="21"/>
          <w:szCs w:val="21"/>
          <w:lang w:eastAsia="hr-HR"/>
        </w:rPr>
        <w:t>skrbnikpreminuo</w:t>
      </w:r>
      <w:proofErr w:type="spellEnd"/>
      <w:r w:rsidRPr="00AB7263">
        <w:rPr>
          <w:rFonts w:ascii="Open Sans" w:eastAsia="Times New Roman" w:hAnsi="Open Sans" w:cs="Open Sans"/>
          <w:color w:val="414145"/>
          <w:sz w:val="21"/>
          <w:szCs w:val="21"/>
          <w:lang w:eastAsia="hr-HR"/>
        </w:rPr>
        <w:t>..</w:t>
      </w:r>
    </w:p>
    <w:p w14:paraId="454FED03"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(3) Za ostvarenje prava iz stavka 2. ovoga članka kandidat prilaže:</w:t>
      </w:r>
    </w:p>
    <w:p w14:paraId="26446961"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liječničku potvrdu o dugotrajnoj težoj bolesti jednoga i/ili oba roditelja/skrbnika;</w:t>
      </w:r>
    </w:p>
    <w:p w14:paraId="298B672F"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lastRenderedPageBreak/>
        <w:t>– potvrdu nadležnoga područnoga ureda Hrvatskoga zavoda za zapošljavanje o dugotrajnoj nezaposlenosti oba roditelja/skrbnika;</w:t>
      </w:r>
    </w:p>
    <w:p w14:paraId="640251B6"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potvrdu o korištenju socijalne pomoći; rješenje ili drugi upravni akt centra za socijalnu skrb ili nadležnoga tijela u jedinici lokalne ili područne (regionalne) jedinice i Grada Zagreba o pravu samohranoga roditelja/skrbnika u statusu socijalne skrbi izdanih od ovlaštenih službi u zdravstvu, socijalnoj skrbi i za zapošljavanje;</w:t>
      </w:r>
    </w:p>
    <w:p w14:paraId="48059293"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ispravu iz matice umrlih ili smrtni list koje je izdalo nadležno tijelo u jedinici lokalne ili područne (regionalne) jedinice ili Grada Zagreba.</w:t>
      </w:r>
    </w:p>
    <w:p w14:paraId="18D4FAFB"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proofErr w:type="spellStart"/>
      <w:r w:rsidRPr="00AB7263">
        <w:rPr>
          <w:rFonts w:ascii="Open Sans" w:eastAsia="Times New Roman" w:hAnsi="Open Sans" w:cs="Open Sans"/>
          <w:color w:val="414145"/>
          <w:sz w:val="21"/>
          <w:szCs w:val="21"/>
          <w:lang w:eastAsia="hr-HR"/>
        </w:rPr>
        <w:t>V.a</w:t>
      </w:r>
      <w:proofErr w:type="spellEnd"/>
      <w:r w:rsidRPr="00AB7263">
        <w:rPr>
          <w:rFonts w:ascii="Open Sans" w:eastAsia="Times New Roman" w:hAnsi="Open Sans" w:cs="Open Sans"/>
          <w:color w:val="414145"/>
          <w:sz w:val="21"/>
          <w:szCs w:val="21"/>
          <w:lang w:eastAsia="hr-HR"/>
        </w:rPr>
        <w:t xml:space="preserve"> VREDNOVANJE KANDIDATA PRIPADNIKA ROMSKE NACIONALNE MANJINE I KANDIDATA BEZ RODITELJSKE SKRBI«</w:t>
      </w:r>
    </w:p>
    <w:p w14:paraId="3DAD200A"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21. (NN </w:t>
      </w:r>
      <w:hyperlink r:id="rId23" w:history="1">
        <w:r w:rsidRPr="00AB7263">
          <w:rPr>
            <w:rFonts w:ascii="Open Sans" w:eastAsia="Times New Roman" w:hAnsi="Open Sans" w:cs="Open Sans"/>
            <w:b/>
            <w:bCs/>
            <w:color w:val="497FD7"/>
            <w:sz w:val="21"/>
            <w:szCs w:val="21"/>
            <w:u w:val="single"/>
            <w:lang w:eastAsia="hr-HR"/>
          </w:rPr>
          <w:t>39/22</w:t>
        </w:r>
      </w:hyperlink>
      <w:r w:rsidRPr="00AB7263">
        <w:rPr>
          <w:rFonts w:ascii="Open Sans" w:eastAsia="Times New Roman" w:hAnsi="Open Sans" w:cs="Open Sans"/>
          <w:color w:val="414145"/>
          <w:sz w:val="21"/>
          <w:szCs w:val="21"/>
          <w:lang w:eastAsia="hr-HR"/>
        </w:rPr>
        <w:t>)</w:t>
      </w:r>
    </w:p>
    <w:p w14:paraId="35B2E398"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(1) Kandidatu koji je pripadnik romske nacionalne manjine, a upisuje se na temelju Nacionalnog plana za uključivanje Roma za razdoblje od 2021. do 2027. godine dodaju se dva boda na broj bodova koji je utvrđen tijekom postupka vrednovanja.</w:t>
      </w:r>
    </w:p>
    <w:p w14:paraId="2AD20E65"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(2) Kandidatu koji je dijete bez roditelja/skrbnika ili odgovarajuće roditeljske skrbi prema zakonu koji uređuje socijalnu skrb dodaje se jedan bod na broj bodova koji je utvrđen tijekom postupka vrednovanja.</w:t>
      </w:r>
    </w:p>
    <w:p w14:paraId="577EF9CE"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(3) Za ostvarivanje dodatnih bodova iz stavka 1. ovoga članka kandidat prilaže potvrdu o pripadnosti romskoj nacionalnoj manjini (rodni list učenika ili rodni list jednog od roditelja/skrbnika ili izvadak iz popisa birača za roditelja/skrbnika)</w:t>
      </w:r>
    </w:p>
    <w:p w14:paraId="3D4227C2"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(4) Za ostvarivanje dodatnih bodova iz stavka 2. ovoga članka kandidat prilaže potvrdu nadležnog centra za socijalnu skrb da je kandidat dijete bez roditelja/skrbnika ili odgovarajuće roditeljske skrbi.</w:t>
      </w:r>
    </w:p>
    <w:p w14:paraId="2DFC01BD"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(5) Neovisno o tomu ispunjava li uvjete za ostvarivanje više prava, kandidatu će se priznati ostvarivanje isključivo jednoga prava od prava propisanih stavcima 1. i 2. ovoga članka, koje je za njega najpovoljnije.</w:t>
      </w:r>
    </w:p>
    <w:p w14:paraId="37DB7558"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22. (NN </w:t>
      </w:r>
      <w:hyperlink r:id="rId24" w:history="1">
        <w:r w:rsidRPr="00AB7263">
          <w:rPr>
            <w:rFonts w:ascii="Open Sans" w:eastAsia="Times New Roman" w:hAnsi="Open Sans" w:cs="Open Sans"/>
            <w:b/>
            <w:bCs/>
            <w:color w:val="497FD7"/>
            <w:sz w:val="21"/>
            <w:szCs w:val="21"/>
            <w:u w:val="single"/>
            <w:lang w:eastAsia="hr-HR"/>
          </w:rPr>
          <w:t>109/16</w:t>
        </w:r>
      </w:hyperlink>
      <w:r w:rsidRPr="00AB7263">
        <w:rPr>
          <w:rFonts w:ascii="Open Sans" w:eastAsia="Times New Roman" w:hAnsi="Open Sans" w:cs="Open Sans"/>
          <w:color w:val="414145"/>
          <w:sz w:val="21"/>
          <w:szCs w:val="21"/>
          <w:lang w:eastAsia="hr-HR"/>
        </w:rPr>
        <w:t>, </w:t>
      </w:r>
      <w:hyperlink r:id="rId25" w:history="1">
        <w:r w:rsidRPr="00AB7263">
          <w:rPr>
            <w:rFonts w:ascii="Open Sans" w:eastAsia="Times New Roman" w:hAnsi="Open Sans" w:cs="Open Sans"/>
            <w:b/>
            <w:bCs/>
            <w:color w:val="497FD7"/>
            <w:sz w:val="21"/>
            <w:szCs w:val="21"/>
            <w:u w:val="single"/>
            <w:lang w:eastAsia="hr-HR"/>
          </w:rPr>
          <w:t>47/17</w:t>
        </w:r>
      </w:hyperlink>
      <w:r w:rsidRPr="00AB7263">
        <w:rPr>
          <w:rFonts w:ascii="Open Sans" w:eastAsia="Times New Roman" w:hAnsi="Open Sans" w:cs="Open Sans"/>
          <w:color w:val="414145"/>
          <w:sz w:val="21"/>
          <w:szCs w:val="21"/>
          <w:lang w:eastAsia="hr-HR"/>
        </w:rPr>
        <w:t>)</w:t>
      </w:r>
    </w:p>
    <w:p w14:paraId="793187F5"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Brisan.</w:t>
      </w:r>
    </w:p>
    <w:p w14:paraId="7C39BDC8"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VI. VREDNOVANJE USPJEHA KANDIDATA S TEŠKOĆAMA U RAZVOJU ODNOSNO TEŽIM ZDRAVSTVENIM TEŠKOĆAMA</w:t>
      </w:r>
    </w:p>
    <w:p w14:paraId="4E32A48E"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23. (NN </w:t>
      </w:r>
      <w:hyperlink r:id="rId26" w:history="1">
        <w:r w:rsidRPr="00AB7263">
          <w:rPr>
            <w:rFonts w:ascii="Open Sans" w:eastAsia="Times New Roman" w:hAnsi="Open Sans" w:cs="Open Sans"/>
            <w:b/>
            <w:bCs/>
            <w:color w:val="497FD7"/>
            <w:sz w:val="21"/>
            <w:szCs w:val="21"/>
            <w:u w:val="single"/>
            <w:lang w:eastAsia="hr-HR"/>
          </w:rPr>
          <w:t>39/22</w:t>
        </w:r>
      </w:hyperlink>
      <w:r w:rsidRPr="00AB7263">
        <w:rPr>
          <w:rFonts w:ascii="Open Sans" w:eastAsia="Times New Roman" w:hAnsi="Open Sans" w:cs="Open Sans"/>
          <w:color w:val="414145"/>
          <w:sz w:val="21"/>
          <w:szCs w:val="21"/>
          <w:lang w:eastAsia="hr-HR"/>
        </w:rPr>
        <w:t>)</w:t>
      </w:r>
    </w:p>
    <w:p w14:paraId="07DFC204"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(1) Kandidat s teškoćama u razvoju, odnosno težim zdravstvenim teškoćama, a koje su utjecale na postizanje rezultata tijekom prethodnog obrazovanja i/ili mu značajno sužavaju mogući izbor programa obrazovanja i zanimanja, je kandidat koji je osnovnu školu ili dio osnovnoškolskog obrazovanja završio prema rješenju nadležnog upravnog tijela županije, odnosno Grada Zagreba (u daljnjem tekstu: Ured) o primjerenom programu obrazovanja.</w:t>
      </w:r>
    </w:p>
    <w:p w14:paraId="2E22D28B"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(2) Kandidati iz stavka 1. ovoga članka rangiraju se na zasebnim ljestvicama poretka, a temeljem ostvarenog ukupnog broja bodova utvrđenog tijekom postupka vrednovanja, u programima obrazovanja za koje posjeduju stručno mišljenje službe za profesionalno usmjeravanje Hrvatskoga zavoda za zapošljavanje.</w:t>
      </w:r>
    </w:p>
    <w:p w14:paraId="08F3F617"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lastRenderedPageBreak/>
        <w:t>(3) Kandidati iz stavka 1. ovoga članka mora zadovoljiti na ispitu sposobnosti i darovitosti u školama u kojima je to uvjet za upis.</w:t>
      </w:r>
    </w:p>
    <w:p w14:paraId="123490CC"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(4) Pravo upisa u nekome programu obrazovanja ostvaruje onoliko kandidata koliko se u tome programu obrazovanja može upisati kandidata s teškoćama u razvoju sukladno Državnome pedagoškome standardu srednjoškolskoga sustava odgoja i obrazovanja (»Narodne novine« broj 63/08 i 90/10).</w:t>
      </w:r>
    </w:p>
    <w:p w14:paraId="05A39DAE"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(5) Za ostvarenje prava iz stavka 2. ovoga članka kandidat obvezno prilaže:</w:t>
      </w:r>
    </w:p>
    <w:p w14:paraId="70E4DF32"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rješenje Ureda o primjerenom programu obrazovanja;</w:t>
      </w:r>
    </w:p>
    <w:p w14:paraId="175369D7"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stručno mišljenje Službe za profesionalno usmjeravanje Hrvatskoga zavoda za zapošljavanje o sposobnostima i motivaciji učenika za, u pravilu šest, a najmanje tri srednjoškolska programa obrazovanja sukladno određenom primjerenom programu obrazovanja u rješenju izdanoga na temelju stručnog mišljenja nadležnoga školskog liječnika koji je pratio kandidata tijekom prethodnog obrazovanja, a na temelju prethodno dostavljene specijalističke medicinske dokumentacije o težim zdravstvenim teškoćama koje su utjecale na postizanje rezultata tijekom prethodnog obrazovanja i/ili mu značajno sužavaju mogući izbor programa obrazovanja i zanimanja, prema stručno usuglašenoj metodologiji te obrade multidisciplinarnog tima Hrvatskoga zavoda za zapošljavanje.</w:t>
      </w:r>
    </w:p>
    <w:p w14:paraId="76102D80"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VII. ZDRAVSTVENA SPOSOBNOST KANDIDATA</w:t>
      </w:r>
    </w:p>
    <w:p w14:paraId="65AE83E1"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24. (NN </w:t>
      </w:r>
      <w:hyperlink r:id="rId27" w:history="1">
        <w:r w:rsidRPr="00AB7263">
          <w:rPr>
            <w:rFonts w:ascii="Open Sans" w:eastAsia="Times New Roman" w:hAnsi="Open Sans" w:cs="Open Sans"/>
            <w:b/>
            <w:bCs/>
            <w:color w:val="497FD7"/>
            <w:sz w:val="21"/>
            <w:szCs w:val="21"/>
            <w:u w:val="single"/>
            <w:lang w:eastAsia="hr-HR"/>
          </w:rPr>
          <w:t>47/17</w:t>
        </w:r>
      </w:hyperlink>
      <w:r w:rsidRPr="00AB7263">
        <w:rPr>
          <w:rFonts w:ascii="Open Sans" w:eastAsia="Times New Roman" w:hAnsi="Open Sans" w:cs="Open Sans"/>
          <w:color w:val="414145"/>
          <w:sz w:val="21"/>
          <w:szCs w:val="21"/>
          <w:lang w:eastAsia="hr-HR"/>
        </w:rPr>
        <w:t>, </w:t>
      </w:r>
      <w:hyperlink r:id="rId28" w:history="1">
        <w:r w:rsidRPr="00AB7263">
          <w:rPr>
            <w:rFonts w:ascii="Open Sans" w:eastAsia="Times New Roman" w:hAnsi="Open Sans" w:cs="Open Sans"/>
            <w:b/>
            <w:bCs/>
            <w:color w:val="497FD7"/>
            <w:sz w:val="21"/>
            <w:szCs w:val="21"/>
            <w:u w:val="single"/>
            <w:lang w:eastAsia="hr-HR"/>
          </w:rPr>
          <w:t>39/22</w:t>
        </w:r>
      </w:hyperlink>
      <w:r w:rsidRPr="00AB7263">
        <w:rPr>
          <w:rFonts w:ascii="Open Sans" w:eastAsia="Times New Roman" w:hAnsi="Open Sans" w:cs="Open Sans"/>
          <w:color w:val="414145"/>
          <w:sz w:val="21"/>
          <w:szCs w:val="21"/>
          <w:lang w:eastAsia="hr-HR"/>
        </w:rPr>
        <w:t>)</w:t>
      </w:r>
    </w:p>
    <w:p w14:paraId="73063CA8"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(1) Ovisno o tome što je propisano za određeni program obrazovanja, kandidat koji se upisuje u programe za koje je posebnim propisima i mjerilima određeno obvezno utvrđivanje zdravstvene sposobnosti, pri upisu u program obvezno dostavlja potvrdu nadležnoga školskog liječnika o zdravstvenoj sposobnosti kandidata za propisani program ili liječničku svjedodžbu medicine rada.</w:t>
      </w:r>
    </w:p>
    <w:p w14:paraId="5151E4C7"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(2) Iznimno, kandidat koji u trenutku upisa nije u mogućnosti dostaviti liječničku svjedodžbu medicine rada, pri upisu dostavlja potvrdu obiteljskog liječnika, a liječničku svjedodžbu medicine rada dostavlja školi najkasnije do 30. rujna tekuće školske godine.</w:t>
      </w:r>
    </w:p>
    <w:p w14:paraId="4DC287ED"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VIII. POSEBNA MJERILA I POSTUPCI ZA UPIS KANDIDATA</w:t>
      </w:r>
    </w:p>
    <w:p w14:paraId="3AE55C93"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25. (NN </w:t>
      </w:r>
      <w:hyperlink r:id="rId29" w:history="1">
        <w:r w:rsidRPr="00AB7263">
          <w:rPr>
            <w:rFonts w:ascii="Open Sans" w:eastAsia="Times New Roman" w:hAnsi="Open Sans" w:cs="Open Sans"/>
            <w:b/>
            <w:bCs/>
            <w:color w:val="497FD7"/>
            <w:sz w:val="21"/>
            <w:szCs w:val="21"/>
            <w:u w:val="single"/>
            <w:lang w:eastAsia="hr-HR"/>
          </w:rPr>
          <w:t>47/17</w:t>
        </w:r>
      </w:hyperlink>
      <w:r w:rsidRPr="00AB7263">
        <w:rPr>
          <w:rFonts w:ascii="Open Sans" w:eastAsia="Times New Roman" w:hAnsi="Open Sans" w:cs="Open Sans"/>
          <w:color w:val="414145"/>
          <w:sz w:val="21"/>
          <w:szCs w:val="21"/>
          <w:lang w:eastAsia="hr-HR"/>
        </w:rPr>
        <w:t>)</w:t>
      </w:r>
    </w:p>
    <w:p w14:paraId="0C1D4634"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Brisan.</w:t>
      </w:r>
    </w:p>
    <w:p w14:paraId="5A1AE15A"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26. (NN </w:t>
      </w:r>
      <w:hyperlink r:id="rId30" w:history="1">
        <w:r w:rsidRPr="00AB7263">
          <w:rPr>
            <w:rFonts w:ascii="Open Sans" w:eastAsia="Times New Roman" w:hAnsi="Open Sans" w:cs="Open Sans"/>
            <w:b/>
            <w:bCs/>
            <w:color w:val="497FD7"/>
            <w:sz w:val="21"/>
            <w:szCs w:val="21"/>
            <w:u w:val="single"/>
            <w:lang w:eastAsia="hr-HR"/>
          </w:rPr>
          <w:t>47/17</w:t>
        </w:r>
      </w:hyperlink>
      <w:r w:rsidRPr="00AB7263">
        <w:rPr>
          <w:rFonts w:ascii="Open Sans" w:eastAsia="Times New Roman" w:hAnsi="Open Sans" w:cs="Open Sans"/>
          <w:color w:val="414145"/>
          <w:sz w:val="21"/>
          <w:szCs w:val="21"/>
          <w:lang w:eastAsia="hr-HR"/>
        </w:rPr>
        <w:t>, </w:t>
      </w:r>
      <w:hyperlink r:id="rId31" w:history="1">
        <w:r w:rsidRPr="00AB7263">
          <w:rPr>
            <w:rFonts w:ascii="Open Sans" w:eastAsia="Times New Roman" w:hAnsi="Open Sans" w:cs="Open Sans"/>
            <w:b/>
            <w:bCs/>
            <w:color w:val="497FD7"/>
            <w:sz w:val="21"/>
            <w:szCs w:val="21"/>
            <w:u w:val="single"/>
            <w:lang w:eastAsia="hr-HR"/>
          </w:rPr>
          <w:t>39/22, 79/25</w:t>
        </w:r>
      </w:hyperlink>
      <w:r w:rsidRPr="00AB7263">
        <w:rPr>
          <w:rFonts w:ascii="Open Sans" w:eastAsia="Times New Roman" w:hAnsi="Open Sans" w:cs="Open Sans"/>
          <w:color w:val="414145"/>
          <w:sz w:val="21"/>
          <w:szCs w:val="21"/>
          <w:lang w:eastAsia="hr-HR"/>
        </w:rPr>
        <w:t>)</w:t>
      </w:r>
    </w:p>
    <w:p w14:paraId="544416D5"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(1) Srednjoj školi koja učenje temeljeno na radu izvodi naukovanjem kod licenciranog obrtnika ili pravne osobe s odgovarajućom dozvolom (licencijom), popis licenciranih obrtnika i pravnih osoba s brojem slobodnih mjesta, razvrstan prema zanimanju, županiji i mjestu/gradu, bit će dostupan putem aplikacije e-Naukovanje, a obveza je škole popis licenciranih obrtnika ili pravnih osoba s kojima surađuje – s brojem slobodnih mjesta za izvođenje učenja temeljenog na radu, razvrstan prema zanimanju, županiji i mjestu/gradu – istaknuti na oglasnoj ploči i mrežnoj stranici škole te ga redovito ažurirati.</w:t>
      </w:r>
    </w:p>
    <w:p w14:paraId="532CBAC0"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(2) Ugovor o naukovanju sklapaju obrtnik ili pravna osoba koji imaju dozvolu (licenciju) za izvođenje naukovanja i kandidat (roditelj ili skrbnik kandidata) čije se učenje temeljeno na radu izvodi naukovanjem, a u skladu sa zakonom koji uređuje obavljanje djelatnosti obrta.</w:t>
      </w:r>
    </w:p>
    <w:p w14:paraId="76053BA0"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lastRenderedPageBreak/>
        <w:t>(3) Ugovor o naukovanju sklapa se u četiri istovjetna primjerka od kojih po jedan pripada svakoj ugovornoj strani, zatim nadležnoj ustanovi za strukovno obrazovanje te nadležnoj područnoj obrtničkoj komori.</w:t>
      </w:r>
    </w:p>
    <w:p w14:paraId="41CD6E33"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(4) Licencirani obrtnik ili pravna osoba može sklopiti onolik broj ugovora koliko ima slobodnih mjesta za izvođenje učenja temeljenog na radu koje se provodi naukovanjem sukladno dozvoli (licenciji) koju posjeduje.</w:t>
      </w:r>
    </w:p>
    <w:p w14:paraId="010964C9"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(5) Radi odabira učenika, licencirani obrtnik ili pravna osoba može prije sklapanja ugovora utvrditi uvjete i raspisati natječaj za prijam učenika. Ako se na tako objavljeni natječaj prijavi više učenika nego što ima slobodnih mjesta za učenje temeljeno na radu koje se provodi naukovanjem, preporučuje se licenciranom obrtniku ili pravnoj osobi da ugovor sklopi s učenikom koji ima bolji školski uspjeh.</w:t>
      </w:r>
    </w:p>
    <w:p w14:paraId="606C26B8"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IX. PROVEDBA DODATNIH PROVJERA SKLONOSTI I SPOSOBNOSTI KANDIDATA</w:t>
      </w:r>
    </w:p>
    <w:p w14:paraId="3016476C"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27.</w:t>
      </w:r>
    </w:p>
    <w:p w14:paraId="61BED2B9"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(1) Škola koja upisuje kandidata u programe obrazovanja za koje je potrebna određena tjelesna, glasovna i slična spretnost ili sposobnost mogu provoditi provjeru sklonosti i sposobnosti kandidata za taj program obrazovanja.</w:t>
      </w:r>
    </w:p>
    <w:p w14:paraId="70A6F0E6"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(2) Na temelju provjera iz stavka 1. ovoga članka kandidat može ostvariti ocjenu »položio« ili »nije položio«.</w:t>
      </w:r>
    </w:p>
    <w:p w14:paraId="4F74A4C2"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X. MINIMALNI BODOVNI PRAG</w:t>
      </w:r>
    </w:p>
    <w:p w14:paraId="48E19465"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28. (NN </w:t>
      </w:r>
      <w:hyperlink r:id="rId32" w:history="1">
        <w:r w:rsidRPr="00AB7263">
          <w:rPr>
            <w:rFonts w:ascii="Open Sans" w:eastAsia="Times New Roman" w:hAnsi="Open Sans" w:cs="Open Sans"/>
            <w:b/>
            <w:bCs/>
            <w:color w:val="497FD7"/>
            <w:sz w:val="21"/>
            <w:szCs w:val="21"/>
            <w:u w:val="single"/>
            <w:lang w:eastAsia="hr-HR"/>
          </w:rPr>
          <w:t>39/22</w:t>
        </w:r>
      </w:hyperlink>
      <w:r w:rsidRPr="00AB7263">
        <w:rPr>
          <w:rFonts w:ascii="Open Sans" w:eastAsia="Times New Roman" w:hAnsi="Open Sans" w:cs="Open Sans"/>
          <w:color w:val="414145"/>
          <w:sz w:val="21"/>
          <w:szCs w:val="21"/>
          <w:lang w:eastAsia="hr-HR"/>
        </w:rPr>
        <w:t>)</w:t>
      </w:r>
    </w:p>
    <w:p w14:paraId="1106D271"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(1) Za programe obrazovanja u trajanju od najmanje četiri godine, škola može utvrditi minimalni broj bodova potrebnih za prijavu kandidata za upis u pojedini program obrazovanja, a koji se odnosi isključivo na zajednički element vrednovanja.</w:t>
      </w:r>
    </w:p>
    <w:p w14:paraId="4DC3F42B"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(2) Utvrđeni minimalni broj bodova iz stavka 1. ovoga članka primjenjuje se tijekom cijeloga upisnog postupka za sve kandidate, osim za kandidate iz članka 16. ovoga Pravilnika koji imaju pravo izravnog upisa.</w:t>
      </w:r>
    </w:p>
    <w:p w14:paraId="717AFB85"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(3) Za programe obrazovanja za stjecanje strukovne kvalifikacije u trajanju od tri godine, programe obrazovanja za vezane obrte te za programe obrazovanja koji traju manje od tri godine, a najmanje godinu dana, ne utvrđuje se minimalni broj bodova koji su potrebni za prijavu.</w:t>
      </w:r>
    </w:p>
    <w:p w14:paraId="16101EB8"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29. (NN </w:t>
      </w:r>
      <w:hyperlink r:id="rId33" w:history="1">
        <w:r w:rsidRPr="00AB7263">
          <w:rPr>
            <w:rFonts w:ascii="Open Sans" w:eastAsia="Times New Roman" w:hAnsi="Open Sans" w:cs="Open Sans"/>
            <w:b/>
            <w:bCs/>
            <w:color w:val="497FD7"/>
            <w:sz w:val="21"/>
            <w:szCs w:val="21"/>
            <w:u w:val="single"/>
            <w:lang w:eastAsia="hr-HR"/>
          </w:rPr>
          <w:t>39/22</w:t>
        </w:r>
      </w:hyperlink>
      <w:r w:rsidRPr="00AB7263">
        <w:rPr>
          <w:rFonts w:ascii="Open Sans" w:eastAsia="Times New Roman" w:hAnsi="Open Sans" w:cs="Open Sans"/>
          <w:color w:val="414145"/>
          <w:sz w:val="21"/>
          <w:szCs w:val="21"/>
          <w:lang w:eastAsia="hr-HR"/>
        </w:rPr>
        <w:t>)</w:t>
      </w:r>
    </w:p>
    <w:p w14:paraId="037746FF"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Brisan.</w:t>
      </w:r>
    </w:p>
    <w:p w14:paraId="11EB696D"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XII. PRIJELAZNE I ZAVRŠNE ODREDBE</w:t>
      </w:r>
    </w:p>
    <w:p w14:paraId="0F382456"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30.</w:t>
      </w:r>
    </w:p>
    <w:p w14:paraId="77D6B162"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Ovaj pravilnik stupa na snagu osmoga dana od dana objave u »Narodnim novinama«, osim odredbe članka 9. ovoga pravilnika koja stupa na snagu u trenutku započinjanja postupaka za upis u školsku godinu 2016./2017.</w:t>
      </w:r>
    </w:p>
    <w:p w14:paraId="025FFB02" w14:textId="77777777" w:rsidR="00AB7263" w:rsidRPr="00AB7263" w:rsidRDefault="00AB7263" w:rsidP="00AB7263">
      <w:pPr>
        <w:spacing w:before="150" w:after="150" w:line="336" w:lineRule="atLeast"/>
        <w:jc w:val="center"/>
        <w:outlineLvl w:val="4"/>
        <w:rPr>
          <w:rFonts w:ascii="Open Sans" w:eastAsia="Times New Roman" w:hAnsi="Open Sans" w:cs="Open Sans"/>
          <w:b/>
          <w:bCs/>
          <w:color w:val="414145"/>
          <w:sz w:val="20"/>
          <w:szCs w:val="20"/>
          <w:lang w:eastAsia="hr-HR"/>
        </w:rPr>
      </w:pPr>
      <w:r w:rsidRPr="00AB7263">
        <w:rPr>
          <w:rFonts w:ascii="Open Sans" w:eastAsia="Times New Roman" w:hAnsi="Open Sans" w:cs="Open Sans"/>
          <w:b/>
          <w:bCs/>
          <w:color w:val="414145"/>
          <w:sz w:val="20"/>
          <w:szCs w:val="20"/>
          <w:lang w:eastAsia="hr-HR"/>
        </w:rPr>
        <w:t>Prijelazne i završne odredbe iz NN 47/17 od 17.05.2017.</w:t>
      </w:r>
    </w:p>
    <w:p w14:paraId="372D3FB0" w14:textId="77777777" w:rsidR="00AB7263" w:rsidRPr="00AB7263" w:rsidRDefault="00AB7263" w:rsidP="00AB7263">
      <w:pPr>
        <w:spacing w:after="135"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5.</w:t>
      </w:r>
    </w:p>
    <w:p w14:paraId="5DF1131D"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lastRenderedPageBreak/>
        <w:t>Ovaj pravilnik stupa na snagu osmoga dana od dana objave u »Narodnim novinama«.</w:t>
      </w:r>
    </w:p>
    <w:p w14:paraId="047717A8" w14:textId="77777777" w:rsidR="00AB7263" w:rsidRPr="00AB7263" w:rsidRDefault="00AB7263" w:rsidP="00AB7263">
      <w:pPr>
        <w:spacing w:before="150" w:after="150" w:line="336" w:lineRule="atLeast"/>
        <w:jc w:val="center"/>
        <w:outlineLvl w:val="4"/>
        <w:rPr>
          <w:rFonts w:ascii="Open Sans" w:eastAsia="Times New Roman" w:hAnsi="Open Sans" w:cs="Open Sans"/>
          <w:b/>
          <w:bCs/>
          <w:color w:val="414145"/>
          <w:sz w:val="20"/>
          <w:szCs w:val="20"/>
          <w:lang w:eastAsia="hr-HR"/>
        </w:rPr>
      </w:pPr>
      <w:r w:rsidRPr="00AB7263">
        <w:rPr>
          <w:rFonts w:ascii="Open Sans" w:eastAsia="Times New Roman" w:hAnsi="Open Sans" w:cs="Open Sans"/>
          <w:b/>
          <w:bCs/>
          <w:color w:val="414145"/>
          <w:sz w:val="20"/>
          <w:szCs w:val="20"/>
          <w:lang w:eastAsia="hr-HR"/>
        </w:rPr>
        <w:t>Prijelazne i završne odredbe iz NN 39/22 od 30.03.2022.</w:t>
      </w:r>
    </w:p>
    <w:p w14:paraId="67D32C85" w14:textId="77777777" w:rsidR="00AB7263" w:rsidRPr="00AB7263" w:rsidRDefault="00AB7263" w:rsidP="00AB7263">
      <w:pPr>
        <w:spacing w:before="103" w:after="48" w:line="240" w:lineRule="auto"/>
        <w:jc w:val="center"/>
        <w:rPr>
          <w:rFonts w:ascii="Times New Roman" w:eastAsia="Times New Roman" w:hAnsi="Times New Roman" w:cs="Times New Roman"/>
          <w:color w:val="231F20"/>
          <w:sz w:val="24"/>
          <w:szCs w:val="24"/>
          <w:lang w:eastAsia="hr-HR"/>
        </w:rPr>
      </w:pPr>
      <w:r w:rsidRPr="00AB7263">
        <w:rPr>
          <w:rFonts w:ascii="Times New Roman" w:eastAsia="Times New Roman" w:hAnsi="Times New Roman" w:cs="Times New Roman"/>
          <w:color w:val="231F20"/>
          <w:sz w:val="24"/>
          <w:szCs w:val="24"/>
          <w:lang w:eastAsia="hr-HR"/>
        </w:rPr>
        <w:t>Članak 23.</w:t>
      </w:r>
    </w:p>
    <w:p w14:paraId="2B5FD5C4" w14:textId="77777777" w:rsidR="00AB7263" w:rsidRPr="00AB7263" w:rsidRDefault="00AB7263" w:rsidP="00AB7263">
      <w:pPr>
        <w:spacing w:after="48" w:line="240" w:lineRule="auto"/>
        <w:ind w:firstLine="408"/>
        <w:rPr>
          <w:rFonts w:ascii="Times New Roman" w:eastAsia="Times New Roman" w:hAnsi="Times New Roman" w:cs="Times New Roman"/>
          <w:color w:val="231F20"/>
          <w:sz w:val="24"/>
          <w:szCs w:val="24"/>
          <w:lang w:eastAsia="hr-HR"/>
        </w:rPr>
      </w:pPr>
      <w:r w:rsidRPr="00AB7263">
        <w:rPr>
          <w:rFonts w:ascii="Times New Roman" w:eastAsia="Times New Roman" w:hAnsi="Times New Roman" w:cs="Times New Roman"/>
          <w:color w:val="231F20"/>
          <w:sz w:val="24"/>
          <w:szCs w:val="24"/>
          <w:lang w:eastAsia="hr-HR"/>
        </w:rPr>
        <w:t>Iznimno od članka 9. stavka 4. ovoga Pravilnika, u tekućoj školskoj godini 2021./2022. zahtjev za suglasnost za provedbu provjere posebnih znanja za upis u školsku godinu 2022./2023. srednje škole mogu dostaviti Ministarstvu najkasnije do 15. travnja 2022. godine.</w:t>
      </w:r>
    </w:p>
    <w:p w14:paraId="169885D0" w14:textId="77777777" w:rsidR="00AB7263" w:rsidRPr="00AB7263" w:rsidRDefault="00AB7263" w:rsidP="00AB7263">
      <w:pPr>
        <w:spacing w:before="103" w:after="48" w:line="240" w:lineRule="auto"/>
        <w:jc w:val="center"/>
        <w:rPr>
          <w:rFonts w:ascii="Times New Roman" w:eastAsia="Times New Roman" w:hAnsi="Times New Roman" w:cs="Times New Roman"/>
          <w:color w:val="231F20"/>
          <w:sz w:val="24"/>
          <w:szCs w:val="24"/>
          <w:lang w:eastAsia="hr-HR"/>
        </w:rPr>
      </w:pPr>
      <w:r w:rsidRPr="00AB7263">
        <w:rPr>
          <w:rFonts w:ascii="Times New Roman" w:eastAsia="Times New Roman" w:hAnsi="Times New Roman" w:cs="Times New Roman"/>
          <w:color w:val="231F20"/>
          <w:sz w:val="24"/>
          <w:szCs w:val="24"/>
          <w:lang w:eastAsia="hr-HR"/>
        </w:rPr>
        <w:t>Članak 24.</w:t>
      </w:r>
    </w:p>
    <w:p w14:paraId="74524C95" w14:textId="77777777" w:rsidR="00AB7263" w:rsidRPr="00AB7263" w:rsidRDefault="00AB7263" w:rsidP="00AB7263">
      <w:pPr>
        <w:spacing w:after="48" w:line="240" w:lineRule="auto"/>
        <w:ind w:firstLine="408"/>
        <w:rPr>
          <w:rFonts w:ascii="Times New Roman" w:eastAsia="Times New Roman" w:hAnsi="Times New Roman" w:cs="Times New Roman"/>
          <w:color w:val="231F20"/>
          <w:sz w:val="24"/>
          <w:szCs w:val="24"/>
          <w:lang w:eastAsia="hr-HR"/>
        </w:rPr>
      </w:pPr>
      <w:r w:rsidRPr="00AB7263">
        <w:rPr>
          <w:rFonts w:ascii="Times New Roman" w:eastAsia="Times New Roman" w:hAnsi="Times New Roman" w:cs="Times New Roman"/>
          <w:color w:val="231F20"/>
          <w:sz w:val="24"/>
          <w:szCs w:val="24"/>
          <w:lang w:eastAsia="hr-HR"/>
        </w:rPr>
        <w:t>Ovaj Pravilnik stupa na snagu osmoga dana od dana objave u »Narodnim novinama«.</w:t>
      </w:r>
    </w:p>
    <w:p w14:paraId="1450F009" w14:textId="77777777" w:rsidR="00AB7263" w:rsidRPr="00AB7263" w:rsidRDefault="00AB7263" w:rsidP="00AB7263">
      <w:pPr>
        <w:spacing w:before="150" w:after="150" w:line="336" w:lineRule="atLeast"/>
        <w:jc w:val="center"/>
        <w:outlineLvl w:val="4"/>
        <w:rPr>
          <w:rFonts w:ascii="Open Sans" w:eastAsia="Times New Roman" w:hAnsi="Open Sans" w:cs="Open Sans"/>
          <w:b/>
          <w:bCs/>
          <w:color w:val="414145"/>
          <w:sz w:val="20"/>
          <w:szCs w:val="20"/>
          <w:lang w:eastAsia="hr-HR"/>
        </w:rPr>
      </w:pPr>
      <w:r w:rsidRPr="00AB7263">
        <w:rPr>
          <w:rFonts w:ascii="Open Sans" w:eastAsia="Times New Roman" w:hAnsi="Open Sans" w:cs="Open Sans"/>
          <w:b/>
          <w:bCs/>
          <w:color w:val="414145"/>
          <w:sz w:val="20"/>
          <w:szCs w:val="20"/>
          <w:lang w:eastAsia="hr-HR"/>
        </w:rPr>
        <w:t>Prijelazne i završne odredbe iz NN 79/25 od 14.05.2025.</w:t>
      </w:r>
    </w:p>
    <w:p w14:paraId="00153F26" w14:textId="77777777" w:rsidR="00AB7263" w:rsidRPr="00AB7263" w:rsidRDefault="00AB7263" w:rsidP="00AB7263">
      <w:pPr>
        <w:spacing w:after="0"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4.</w:t>
      </w:r>
    </w:p>
    <w:p w14:paraId="4A2438EB"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Popis predmeta posebno važnih za upis iz članka 7. stavka 4. zamjenjuje se novim Popisom predmeta posebno važnih za upis i sastavni je dio ovoga Pravilnika.</w:t>
      </w:r>
    </w:p>
    <w:p w14:paraId="6AA87E57" w14:textId="77777777" w:rsidR="00AB7263" w:rsidRPr="00AB7263" w:rsidRDefault="00AB7263" w:rsidP="00AB7263">
      <w:pPr>
        <w:spacing w:after="0" w:line="240" w:lineRule="auto"/>
        <w:jc w:val="center"/>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Članak 5.</w:t>
      </w:r>
    </w:p>
    <w:p w14:paraId="5D03B774"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Ovaj Pravilnik stupa na snagu prvoga dana od dana objave u »Narodnim novinama«.</w:t>
      </w:r>
    </w:p>
    <w:p w14:paraId="72A1D3E6"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w:t>
      </w:r>
    </w:p>
    <w:p w14:paraId="454B1AF0" w14:textId="77777777" w:rsidR="00AB7263" w:rsidRPr="00AB7263" w:rsidRDefault="00AB7263" w:rsidP="00AB7263">
      <w:pPr>
        <w:spacing w:before="150" w:after="150" w:line="336" w:lineRule="atLeast"/>
        <w:jc w:val="center"/>
        <w:outlineLvl w:val="4"/>
        <w:rPr>
          <w:rFonts w:ascii="Open Sans" w:eastAsia="Times New Roman" w:hAnsi="Open Sans" w:cs="Open Sans"/>
          <w:b/>
          <w:bCs/>
          <w:color w:val="414145"/>
          <w:sz w:val="20"/>
          <w:szCs w:val="20"/>
          <w:lang w:eastAsia="hr-HR"/>
        </w:rPr>
      </w:pPr>
      <w:r w:rsidRPr="00AB7263">
        <w:rPr>
          <w:rFonts w:ascii="Open Sans" w:eastAsia="Times New Roman" w:hAnsi="Open Sans" w:cs="Open Sans"/>
          <w:b/>
          <w:bCs/>
          <w:color w:val="414145"/>
          <w:sz w:val="20"/>
          <w:szCs w:val="20"/>
          <w:lang w:eastAsia="hr-HR"/>
        </w:rPr>
        <w:t>POPIS PREDMETA POSEBNO VAŽNIH ZA UPIS </w:t>
      </w:r>
    </w:p>
    <w:p w14:paraId="6D5530BE"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w:t>
      </w:r>
    </w:p>
    <w:tbl>
      <w:tblPr>
        <w:tblW w:w="0" w:type="auto"/>
        <w:tblCellMar>
          <w:top w:w="15" w:type="dxa"/>
          <w:left w:w="15" w:type="dxa"/>
          <w:bottom w:w="15" w:type="dxa"/>
          <w:right w:w="15" w:type="dxa"/>
        </w:tblCellMar>
        <w:tblLook w:val="04A0" w:firstRow="1" w:lastRow="0" w:firstColumn="1" w:lastColumn="0" w:noHBand="0" w:noVBand="1"/>
      </w:tblPr>
      <w:tblGrid>
        <w:gridCol w:w="1797"/>
        <w:gridCol w:w="3490"/>
        <w:gridCol w:w="1152"/>
        <w:gridCol w:w="1229"/>
        <w:gridCol w:w="1388"/>
      </w:tblGrid>
      <w:tr w:rsidR="00AB7263" w:rsidRPr="00AB7263" w14:paraId="4706342F" w14:textId="77777777" w:rsidTr="00AB7263">
        <w:tc>
          <w:tcPr>
            <w:tcW w:w="251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83BD4C4"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Sektor</w:t>
            </w:r>
          </w:p>
        </w:tc>
        <w:tc>
          <w:tcPr>
            <w:tcW w:w="363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A5E6B33"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 xml:space="preserve">NPP/Nastavni plan/Strukovni </w:t>
            </w:r>
            <w:proofErr w:type="spellStart"/>
            <w:r w:rsidRPr="00AB7263">
              <w:rPr>
                <w:rFonts w:ascii="Times New Roman" w:eastAsia="Times New Roman" w:hAnsi="Times New Roman" w:cs="Times New Roman"/>
                <w:sz w:val="24"/>
                <w:szCs w:val="24"/>
                <w:lang w:eastAsia="hr-HR"/>
              </w:rPr>
              <w:t>kurikul</w:t>
            </w:r>
            <w:proofErr w:type="spellEnd"/>
          </w:p>
        </w:tc>
        <w:tc>
          <w:tcPr>
            <w:tcW w:w="184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3435115"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Trajanje u godinama</w:t>
            </w:r>
          </w:p>
        </w:tc>
        <w:tc>
          <w:tcPr>
            <w:tcW w:w="1598"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88A4608"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Predmet 1</w:t>
            </w:r>
          </w:p>
        </w:tc>
        <w:tc>
          <w:tcPr>
            <w:tcW w:w="1542"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BAD6B9C"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Predmet 2</w:t>
            </w:r>
          </w:p>
        </w:tc>
      </w:tr>
      <w:tr w:rsidR="00AB7263" w:rsidRPr="00AB7263" w14:paraId="26766FEF"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40CDA4C"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Ekonomija i trgovina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C1F6CAE"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C99053C"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56AA737"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Povijest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79DA957"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Geografija</w:t>
            </w:r>
          </w:p>
        </w:tc>
      </w:tr>
      <w:tr w:rsidR="00AB7263" w:rsidRPr="00AB7263" w14:paraId="632E4CC7"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8B0EAEF"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Elektrotehnika i računarstvo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63194C3"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724D0AF"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A66AD3B"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0107A3E"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Tehnička kultura</w:t>
            </w:r>
          </w:p>
        </w:tc>
      </w:tr>
      <w:tr w:rsidR="00AB7263" w:rsidRPr="00AB7263" w14:paraId="1E4D8E0A"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244473D"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Geologija, rudarstvo, nafta i kemijska tehnologija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06D9394"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6C352E2"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E4F88D6"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C414052"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Kemija</w:t>
            </w:r>
          </w:p>
        </w:tc>
      </w:tr>
      <w:tr w:rsidR="00AB7263" w:rsidRPr="00AB7263" w14:paraId="13330340"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04EE00A"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CF5A146"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Klasična gimnazija</w:t>
            </w:r>
          </w:p>
          <w:p w14:paraId="4638B267"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Opća gimnazija</w:t>
            </w:r>
          </w:p>
          <w:p w14:paraId="0820E733"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Jezična 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1523178"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940AD4B"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Povijest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1451B3E"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Geografija</w:t>
            </w:r>
          </w:p>
        </w:tc>
      </w:tr>
      <w:tr w:rsidR="00AB7263" w:rsidRPr="00AB7263" w14:paraId="6A087D12"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7106D0B"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C33FAB7"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Klasična gimnazija – učenici koji nastavljaju učenje klasičnih jezika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1260F67"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C29C2DA"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Latinski jezik</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924F645"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Povijest</w:t>
            </w:r>
          </w:p>
        </w:tc>
      </w:tr>
      <w:tr w:rsidR="00AB7263" w:rsidRPr="00AB7263" w14:paraId="2C02D824"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2B30ABB"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9AF970E"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Prirodoslovna 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042B5E0"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A481849"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AD86E0E"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Kemija</w:t>
            </w:r>
          </w:p>
        </w:tc>
      </w:tr>
      <w:tr w:rsidR="00AB7263" w:rsidRPr="00AB7263" w14:paraId="025534CC"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42ABABE"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64AC072"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Prirodoslovno-matematička 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CC5C2D0"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9CF6088"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Kemija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3B7195F"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Fizika</w:t>
            </w:r>
          </w:p>
        </w:tc>
      </w:tr>
      <w:tr w:rsidR="00AB7263" w:rsidRPr="00AB7263" w14:paraId="4E236F82"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9D71D13"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lastRenderedPageBreak/>
              <w:t>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C8326C3"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Umjetnička 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E72F4E8"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B2A620B"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Povijest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3FFF9EA"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Likovna kultura</w:t>
            </w:r>
          </w:p>
        </w:tc>
      </w:tr>
      <w:tr w:rsidR="00AB7263" w:rsidRPr="00AB7263" w14:paraId="3ED594B8"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0799E7A"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Graditeljstvo, geodezija i arhitektura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4C17667"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CE81D37"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FB5B1FA"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879AC59"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Tehnička kultura</w:t>
            </w:r>
          </w:p>
        </w:tc>
      </w:tr>
      <w:tr w:rsidR="00AB7263" w:rsidRPr="00AB7263" w14:paraId="711767F0"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2B72E23"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Grafička tehnologija i audiovizualne tehnologije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871BFA4"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ED1E8FE"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5E44021"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07CDC2D"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Likovna kultura</w:t>
            </w:r>
          </w:p>
        </w:tc>
      </w:tr>
      <w:tr w:rsidR="00AB7263" w:rsidRPr="00AB7263" w14:paraId="0487CE13"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9FB47DE"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Moda, tekstil i koža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800D5DC"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31913F7"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41FC9AA"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Tehnička kultura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2885DEB"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Likovna kultura</w:t>
            </w:r>
          </w:p>
        </w:tc>
      </w:tr>
      <w:tr w:rsidR="00AB7263" w:rsidRPr="00AB7263" w14:paraId="014F9E80" w14:textId="77777777" w:rsidTr="00AB7263">
        <w:tc>
          <w:tcPr>
            <w:tcW w:w="0" w:type="auto"/>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8F9703D"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Osobne, usluge zaštite i druge usluge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453BCFC"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Tehničar za očnu optiku / tehničarka za očnu optiku</w:t>
            </w:r>
          </w:p>
        </w:tc>
        <w:tc>
          <w:tcPr>
            <w:tcW w:w="0" w:type="auto"/>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B85EDCE"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C00E502"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95E4A28"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Tehnička kultura</w:t>
            </w:r>
          </w:p>
        </w:tc>
      </w:tr>
      <w:tr w:rsidR="00AB7263" w:rsidRPr="00AB7263" w14:paraId="39D92117" w14:textId="77777777" w:rsidTr="00AB7263">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6680504A"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3952523"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Kozmetičar/kozmetičarka</w:t>
            </w:r>
          </w:p>
        </w:tc>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6BBE977D"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9C68635"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0175308"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Kemija</w:t>
            </w:r>
          </w:p>
        </w:tc>
      </w:tr>
      <w:tr w:rsidR="00AB7263" w:rsidRPr="00AB7263" w14:paraId="2B205F71"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9D73842"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Poljoprivreda, prehrana i veterina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0963211"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D0B73D8"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B67EBC1"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CCC0D20"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Kemija</w:t>
            </w:r>
          </w:p>
        </w:tc>
      </w:tr>
      <w:tr w:rsidR="00AB7263" w:rsidRPr="00AB7263" w14:paraId="44E41DC4"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3FA2B39"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Pravo, politologija, sociologija, državna uprava i javni poslovi</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F58F3E2"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2911E90"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44E3EB8"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Povijest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8C912D4"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Tehnička kultura</w:t>
            </w:r>
          </w:p>
        </w:tc>
      </w:tr>
      <w:tr w:rsidR="00AB7263" w:rsidRPr="00AB7263" w14:paraId="7163FBDE" w14:textId="77777777" w:rsidTr="00AB7263">
        <w:tc>
          <w:tcPr>
            <w:tcW w:w="0" w:type="auto"/>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E56BE5E"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Promet i logistika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0D21801"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Tehničar za inteligentne transportne sustave u cestovnom prometu/ tehničarka za inteligentne transportne sustave u cestovnom prometu</w:t>
            </w:r>
          </w:p>
          <w:p w14:paraId="76EFC1F1"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Tehničar cestovnog prometa / tehničarka cestovnog prometa</w:t>
            </w:r>
          </w:p>
          <w:p w14:paraId="66F023C0"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Tehničar prometne logistike / tehničarka prometne logistike</w:t>
            </w:r>
          </w:p>
          <w:p w14:paraId="2598577D"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Tehničar za poštu i poštansku logistiku / tehničarka za poštu i poštansku logistiku</w:t>
            </w:r>
          </w:p>
          <w:p w14:paraId="60612EF9"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Strojovođa/</w:t>
            </w:r>
            <w:proofErr w:type="spellStart"/>
            <w:r w:rsidRPr="00AB7263">
              <w:rPr>
                <w:rFonts w:ascii="Times New Roman" w:eastAsia="Times New Roman" w:hAnsi="Times New Roman" w:cs="Times New Roman"/>
                <w:sz w:val="24"/>
                <w:szCs w:val="24"/>
                <w:lang w:eastAsia="hr-HR"/>
              </w:rPr>
              <w:t>strojovotkinja</w:t>
            </w:r>
            <w:proofErr w:type="spellEnd"/>
          </w:p>
          <w:p w14:paraId="0B53FB20"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proofErr w:type="spellStart"/>
            <w:r w:rsidRPr="00AB7263">
              <w:rPr>
                <w:rFonts w:ascii="Times New Roman" w:eastAsia="Times New Roman" w:hAnsi="Times New Roman" w:cs="Times New Roman"/>
                <w:sz w:val="24"/>
                <w:szCs w:val="24"/>
                <w:lang w:eastAsia="hr-HR"/>
              </w:rPr>
              <w:t>Vlakopratitelj</w:t>
            </w:r>
            <w:proofErr w:type="spellEnd"/>
            <w:r w:rsidRPr="00AB7263">
              <w:rPr>
                <w:rFonts w:ascii="Times New Roman" w:eastAsia="Times New Roman" w:hAnsi="Times New Roman" w:cs="Times New Roman"/>
                <w:sz w:val="24"/>
                <w:szCs w:val="24"/>
                <w:lang w:eastAsia="hr-HR"/>
              </w:rPr>
              <w:t>/</w:t>
            </w:r>
            <w:proofErr w:type="spellStart"/>
            <w:r w:rsidRPr="00AB7263">
              <w:rPr>
                <w:rFonts w:ascii="Times New Roman" w:eastAsia="Times New Roman" w:hAnsi="Times New Roman" w:cs="Times New Roman"/>
                <w:sz w:val="24"/>
                <w:szCs w:val="24"/>
                <w:lang w:eastAsia="hr-HR"/>
              </w:rPr>
              <w:t>vlakopratiteljica</w:t>
            </w:r>
            <w:proofErr w:type="spellEnd"/>
          </w:p>
          <w:p w14:paraId="2FD5A6FC"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Prometnik vlakova / prometnica vlakova</w:t>
            </w:r>
          </w:p>
        </w:tc>
        <w:tc>
          <w:tcPr>
            <w:tcW w:w="0" w:type="auto"/>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273D967"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16825AD"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37A2ED9"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Tehnička kultura</w:t>
            </w:r>
          </w:p>
        </w:tc>
      </w:tr>
      <w:tr w:rsidR="00AB7263" w:rsidRPr="00AB7263" w14:paraId="1C1A0512" w14:textId="77777777" w:rsidTr="00AB7263">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23C266F7"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3F4DA2F"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 xml:space="preserve">Nautičar unutarnje plovidbe / nautičarka unutarnje plovidbe </w:t>
            </w:r>
            <w:r w:rsidRPr="00AB7263">
              <w:rPr>
                <w:rFonts w:ascii="Times New Roman" w:eastAsia="Times New Roman" w:hAnsi="Times New Roman" w:cs="Times New Roman"/>
                <w:sz w:val="24"/>
                <w:szCs w:val="24"/>
                <w:lang w:eastAsia="hr-HR"/>
              </w:rPr>
              <w:lastRenderedPageBreak/>
              <w:t>pomorski nautičar / pomorska nautičarka</w:t>
            </w:r>
          </w:p>
        </w:tc>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13632FB8"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F2A5605"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632F626"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Geografija</w:t>
            </w:r>
          </w:p>
        </w:tc>
      </w:tr>
      <w:tr w:rsidR="00AB7263" w:rsidRPr="00AB7263" w14:paraId="322B1CD3" w14:textId="77777777" w:rsidTr="00AB7263">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2D41415B"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B751447"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Tehničar za zračni promet / tehničarka za zračni promet</w:t>
            </w:r>
          </w:p>
          <w:p w14:paraId="1597C7EE"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Tehničar za marine i jahte / tehničarka za marine i jahte</w:t>
            </w:r>
          </w:p>
        </w:tc>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7ADDAAA8"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4E8EDE3"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Geografija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6FAE4E0"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Tehnička kultura</w:t>
            </w:r>
          </w:p>
        </w:tc>
      </w:tr>
      <w:tr w:rsidR="00AB7263" w:rsidRPr="00AB7263" w14:paraId="32C75DB9"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AFD8E03"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Strojarstvo, brodogradnja i metalurgija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C3DEE3F"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EE9A29A"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40FE53B"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0D9E8DE"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Tehnička kultura</w:t>
            </w:r>
          </w:p>
        </w:tc>
      </w:tr>
      <w:tr w:rsidR="00AB7263" w:rsidRPr="00AB7263" w14:paraId="2D501225"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5634A37"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Šumarstvo i drvna tehnologija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D22E8CF"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F4A3C51"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DF8D7A8"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E75EE9F"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Tehnička kultura</w:t>
            </w:r>
          </w:p>
        </w:tc>
      </w:tr>
      <w:tr w:rsidR="00AB7263" w:rsidRPr="00AB7263" w14:paraId="66B2BE4B"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3D4DABF"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Temeljne prirodne znanosti</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7D8D243"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Hidrometeorološki tehničar</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4073E5D"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4F05074"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24B1D61"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Fizika</w:t>
            </w:r>
          </w:p>
        </w:tc>
      </w:tr>
      <w:tr w:rsidR="00AB7263" w:rsidRPr="00AB7263" w14:paraId="6D92583A"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23B3BF4"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Turizam i ugostiteljstvo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577F161"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5740C40"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006D050"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Povijest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0725777"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Geografija</w:t>
            </w:r>
          </w:p>
        </w:tc>
      </w:tr>
      <w:tr w:rsidR="00AB7263" w:rsidRPr="00AB7263" w14:paraId="19C4BC42"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24FADC5"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Umjetnost – glazbena umjetnost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5CA2C6A"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Glazbenik – instrument</w:t>
            </w:r>
          </w:p>
          <w:p w14:paraId="1816D426"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Glazbenik – teorijski smjer</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ED57006"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D377531"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Glazbena kultura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3979890"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Likovna kultura</w:t>
            </w:r>
          </w:p>
        </w:tc>
      </w:tr>
      <w:tr w:rsidR="00AB7263" w:rsidRPr="00AB7263" w14:paraId="42FFE582"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B76F1D7"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Umjetnost – glazbena umjetnost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D2891FC"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Graditelj i restaurator glazbala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87531F5"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30A73CB"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Glazbena kultura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309333F"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Tehnička kultura</w:t>
            </w:r>
          </w:p>
        </w:tc>
      </w:tr>
      <w:tr w:rsidR="00AB7263" w:rsidRPr="00AB7263" w14:paraId="3CF4A1CC"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E147C2C"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Umjetnost – glazbena umjetnost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2EC9CEC"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Glazbenik saksofonist popularne i jazz glazbe</w:t>
            </w:r>
          </w:p>
          <w:p w14:paraId="6A4CC3CD"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Glazbenik bubnjar i udaraljkaš popularne i jazz glazbe</w:t>
            </w:r>
          </w:p>
          <w:p w14:paraId="1E0086E9"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Glazbenik gitarist popularne i jazz glazbe</w:t>
            </w:r>
          </w:p>
          <w:p w14:paraId="154460A7"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Glazbenik bas gitarist popularne i jazz glazbe</w:t>
            </w:r>
          </w:p>
          <w:p w14:paraId="7B3CAF7F"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 xml:space="preserve">Glazbenik </w:t>
            </w:r>
            <w:proofErr w:type="spellStart"/>
            <w:r w:rsidRPr="00AB7263">
              <w:rPr>
                <w:rFonts w:ascii="Times New Roman" w:eastAsia="Times New Roman" w:hAnsi="Times New Roman" w:cs="Times New Roman"/>
                <w:sz w:val="24"/>
                <w:szCs w:val="24"/>
                <w:lang w:eastAsia="hr-HR"/>
              </w:rPr>
              <w:t>kontrabasist</w:t>
            </w:r>
            <w:proofErr w:type="spellEnd"/>
            <w:r w:rsidRPr="00AB7263">
              <w:rPr>
                <w:rFonts w:ascii="Times New Roman" w:eastAsia="Times New Roman" w:hAnsi="Times New Roman" w:cs="Times New Roman"/>
                <w:sz w:val="24"/>
                <w:szCs w:val="24"/>
                <w:lang w:eastAsia="hr-HR"/>
              </w:rPr>
              <w:t xml:space="preserve"> popularne i jazz glazbe</w:t>
            </w:r>
          </w:p>
          <w:p w14:paraId="62258A41"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Glazbenik pjevač popularne i jazz glazbe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535C7D6"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B404FFC"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Likovna kultura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D4937F6"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Glazbena kultura</w:t>
            </w:r>
          </w:p>
        </w:tc>
      </w:tr>
      <w:tr w:rsidR="00AB7263" w:rsidRPr="00AB7263" w14:paraId="7ABE95E4"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FEFE940"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Umjetnost – likovna umjetnost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1D40370"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Likovna umjetnost i dizajn</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D94823B"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554E12A"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Likovna kultura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44EB691"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Tehnička kultura</w:t>
            </w:r>
          </w:p>
        </w:tc>
      </w:tr>
      <w:tr w:rsidR="00AB7263" w:rsidRPr="00AB7263" w14:paraId="42FF81AD"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C893506"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lastRenderedPageBreak/>
              <w:t>Umjetnost – plesna umjetnost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6C42848"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Plesač klasičnog baleta</w:t>
            </w:r>
          </w:p>
          <w:p w14:paraId="1E4A2ACC"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Plesač narodnih plesova</w:t>
            </w:r>
          </w:p>
          <w:p w14:paraId="1E58A961"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Plesač suvremenog plesa</w:t>
            </w:r>
          </w:p>
          <w:p w14:paraId="4A66BCD6" w14:textId="77777777" w:rsidR="00AB7263" w:rsidRPr="00AB7263" w:rsidRDefault="00AB7263" w:rsidP="00AB7263">
            <w:pPr>
              <w:spacing w:after="135"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Scenski plesač</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2674C56"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FE85CFB"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043C594"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Tjelesna i zdravstvena kultura</w:t>
            </w:r>
          </w:p>
        </w:tc>
      </w:tr>
      <w:tr w:rsidR="00AB7263" w:rsidRPr="00AB7263" w14:paraId="092496D7"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F1EAB8E"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Zdravstvo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6A8496B"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11557BF"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 i 5</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AD43E56"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B683E23"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Kemija</w:t>
            </w:r>
          </w:p>
        </w:tc>
      </w:tr>
      <w:tr w:rsidR="00AB7263" w:rsidRPr="00AB7263" w14:paraId="53A69434" w14:textId="77777777" w:rsidTr="00AB7263">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BBB6C94"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Zrakoplovstvo, raketna i svemirska tehnika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04145A1"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Zrakoplovni tehničar / zrakoplovna tehničarka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318FF7E"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10E3BA0"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A121B1A" w14:textId="77777777" w:rsidR="00AB7263" w:rsidRPr="00AB7263" w:rsidRDefault="00AB7263" w:rsidP="00AB7263">
            <w:pPr>
              <w:spacing w:after="0" w:line="240" w:lineRule="auto"/>
              <w:rPr>
                <w:rFonts w:ascii="Times New Roman" w:eastAsia="Times New Roman" w:hAnsi="Times New Roman" w:cs="Times New Roman"/>
                <w:sz w:val="24"/>
                <w:szCs w:val="24"/>
                <w:lang w:eastAsia="hr-HR"/>
              </w:rPr>
            </w:pPr>
            <w:r w:rsidRPr="00AB7263">
              <w:rPr>
                <w:rFonts w:ascii="Times New Roman" w:eastAsia="Times New Roman" w:hAnsi="Times New Roman" w:cs="Times New Roman"/>
                <w:sz w:val="24"/>
                <w:szCs w:val="24"/>
                <w:lang w:eastAsia="hr-HR"/>
              </w:rPr>
              <w:t>Tehnička kultura</w:t>
            </w:r>
          </w:p>
        </w:tc>
      </w:tr>
    </w:tbl>
    <w:p w14:paraId="38906DFA" w14:textId="77777777" w:rsidR="00AB7263" w:rsidRPr="00AB7263" w:rsidRDefault="00AB7263" w:rsidP="00AB7263">
      <w:pPr>
        <w:spacing w:after="135" w:line="240" w:lineRule="auto"/>
        <w:rPr>
          <w:rFonts w:ascii="Open Sans" w:eastAsia="Times New Roman" w:hAnsi="Open Sans" w:cs="Open Sans"/>
          <w:color w:val="414145"/>
          <w:sz w:val="21"/>
          <w:szCs w:val="21"/>
          <w:lang w:eastAsia="hr-HR"/>
        </w:rPr>
      </w:pPr>
      <w:r w:rsidRPr="00AB7263">
        <w:rPr>
          <w:rFonts w:ascii="Open Sans" w:eastAsia="Times New Roman" w:hAnsi="Open Sans" w:cs="Open Sans"/>
          <w:color w:val="414145"/>
          <w:sz w:val="21"/>
          <w:szCs w:val="21"/>
          <w:lang w:eastAsia="hr-HR"/>
        </w:rPr>
        <w:t> </w:t>
      </w:r>
    </w:p>
    <w:p w14:paraId="225E9DA5" w14:textId="77777777" w:rsidR="001128B5" w:rsidRDefault="001128B5"/>
    <w:sectPr w:rsidR="00112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09"/>
    <w:rsid w:val="001128B5"/>
    <w:rsid w:val="00AB7263"/>
    <w:rsid w:val="00D202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BBC70-D174-42F1-AE23-652616D2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343584">
      <w:bodyDiv w:val="1"/>
      <w:marLeft w:val="0"/>
      <w:marRight w:val="0"/>
      <w:marTop w:val="0"/>
      <w:marBottom w:val="0"/>
      <w:divBdr>
        <w:top w:val="none" w:sz="0" w:space="0" w:color="auto"/>
        <w:left w:val="none" w:sz="0" w:space="0" w:color="auto"/>
        <w:bottom w:val="none" w:sz="0" w:space="0" w:color="auto"/>
        <w:right w:val="none" w:sz="0" w:space="0" w:color="auto"/>
      </w:divBdr>
      <w:divsChild>
        <w:div w:id="1065639594">
          <w:marLeft w:val="0"/>
          <w:marRight w:val="0"/>
          <w:marTop w:val="0"/>
          <w:marBottom w:val="0"/>
          <w:divBdr>
            <w:top w:val="none" w:sz="0" w:space="0" w:color="auto"/>
            <w:left w:val="none" w:sz="0" w:space="0" w:color="auto"/>
            <w:bottom w:val="none" w:sz="0" w:space="0" w:color="auto"/>
            <w:right w:val="none" w:sz="0" w:space="0" w:color="auto"/>
          </w:divBdr>
          <w:divsChild>
            <w:div w:id="2035501466">
              <w:marLeft w:val="0"/>
              <w:marRight w:val="0"/>
              <w:marTop w:val="0"/>
              <w:marBottom w:val="0"/>
              <w:divBdr>
                <w:top w:val="none" w:sz="0" w:space="0" w:color="auto"/>
                <w:left w:val="none" w:sz="0" w:space="0" w:color="auto"/>
                <w:bottom w:val="none" w:sz="0" w:space="0" w:color="auto"/>
                <w:right w:val="none" w:sz="0" w:space="0" w:color="auto"/>
              </w:divBdr>
              <w:divsChild>
                <w:div w:id="12733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3004">
          <w:marLeft w:val="0"/>
          <w:marRight w:val="0"/>
          <w:marTop w:val="0"/>
          <w:marBottom w:val="0"/>
          <w:divBdr>
            <w:top w:val="none" w:sz="0" w:space="0" w:color="auto"/>
            <w:left w:val="none" w:sz="0" w:space="0" w:color="auto"/>
            <w:bottom w:val="none" w:sz="0" w:space="0" w:color="auto"/>
            <w:right w:val="none" w:sz="0" w:space="0" w:color="auto"/>
          </w:divBdr>
          <w:divsChild>
            <w:div w:id="881092484">
              <w:marLeft w:val="0"/>
              <w:marRight w:val="0"/>
              <w:marTop w:val="0"/>
              <w:marBottom w:val="0"/>
              <w:divBdr>
                <w:top w:val="none" w:sz="0" w:space="0" w:color="auto"/>
                <w:left w:val="none" w:sz="0" w:space="0" w:color="auto"/>
                <w:bottom w:val="none" w:sz="0" w:space="0" w:color="auto"/>
                <w:right w:val="none" w:sz="0" w:space="0" w:color="auto"/>
              </w:divBdr>
              <w:divsChild>
                <w:div w:id="196426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00669">
          <w:marLeft w:val="0"/>
          <w:marRight w:val="0"/>
          <w:marTop w:val="0"/>
          <w:marBottom w:val="0"/>
          <w:divBdr>
            <w:top w:val="none" w:sz="0" w:space="0" w:color="auto"/>
            <w:left w:val="none" w:sz="0" w:space="0" w:color="auto"/>
            <w:bottom w:val="none" w:sz="0" w:space="0" w:color="auto"/>
            <w:right w:val="none" w:sz="0" w:space="0" w:color="auto"/>
          </w:divBdr>
          <w:divsChild>
            <w:div w:id="68425678">
              <w:marLeft w:val="0"/>
              <w:marRight w:val="0"/>
              <w:marTop w:val="0"/>
              <w:marBottom w:val="0"/>
              <w:divBdr>
                <w:top w:val="none" w:sz="0" w:space="0" w:color="auto"/>
                <w:left w:val="none" w:sz="0" w:space="0" w:color="auto"/>
                <w:bottom w:val="none" w:sz="0" w:space="0" w:color="auto"/>
                <w:right w:val="none" w:sz="0" w:space="0" w:color="auto"/>
              </w:divBdr>
              <w:divsChild>
                <w:div w:id="10466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10033">
          <w:marLeft w:val="0"/>
          <w:marRight w:val="0"/>
          <w:marTop w:val="0"/>
          <w:marBottom w:val="0"/>
          <w:divBdr>
            <w:top w:val="none" w:sz="0" w:space="0" w:color="auto"/>
            <w:left w:val="none" w:sz="0" w:space="0" w:color="auto"/>
            <w:bottom w:val="none" w:sz="0" w:space="0" w:color="auto"/>
            <w:right w:val="none" w:sz="0" w:space="0" w:color="auto"/>
          </w:divBdr>
          <w:divsChild>
            <w:div w:id="93596513">
              <w:marLeft w:val="0"/>
              <w:marRight w:val="0"/>
              <w:marTop w:val="0"/>
              <w:marBottom w:val="0"/>
              <w:divBdr>
                <w:top w:val="none" w:sz="0" w:space="0" w:color="auto"/>
                <w:left w:val="none" w:sz="0" w:space="0" w:color="auto"/>
                <w:bottom w:val="none" w:sz="0" w:space="0" w:color="auto"/>
                <w:right w:val="none" w:sz="0" w:space="0" w:color="auto"/>
              </w:divBdr>
              <w:divsChild>
                <w:div w:id="1248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52057" TargetMode="External"/><Relationship Id="rId18" Type="http://schemas.openxmlformats.org/officeDocument/2006/relationships/hyperlink" Target="https://www.zakon.hr/cms.htm?id=52057" TargetMode="External"/><Relationship Id="rId26" Type="http://schemas.openxmlformats.org/officeDocument/2006/relationships/hyperlink" Target="https://www.zakon.hr/cms.htm?id=52057" TargetMode="External"/><Relationship Id="rId3" Type="http://schemas.openxmlformats.org/officeDocument/2006/relationships/webSettings" Target="webSettings.xml"/><Relationship Id="rId21" Type="http://schemas.openxmlformats.org/officeDocument/2006/relationships/hyperlink" Target="https://www.zakon.hr/cms.htm?id=52057" TargetMode="External"/><Relationship Id="rId34" Type="http://schemas.openxmlformats.org/officeDocument/2006/relationships/fontTable" Target="fontTable.xml"/><Relationship Id="rId7" Type="http://schemas.openxmlformats.org/officeDocument/2006/relationships/hyperlink" Target="https://www.zakon.hr/cms.htm?id=19081" TargetMode="External"/><Relationship Id="rId12" Type="http://schemas.openxmlformats.org/officeDocument/2006/relationships/hyperlink" Target="https://www.zakon.hr/c/podzakonski-propis/540875/nn-79-2025-%2814.5.2025.%29%2C-pravilnik-o-izmjenama-pravilnika-o-elementima-i-kriterijima-za-izbor-kandidata-za-upis-u-i.-razred" TargetMode="External"/><Relationship Id="rId17" Type="http://schemas.openxmlformats.org/officeDocument/2006/relationships/hyperlink" Target="https://www.zakon.hr/cms.htm?id=52057" TargetMode="External"/><Relationship Id="rId25" Type="http://schemas.openxmlformats.org/officeDocument/2006/relationships/hyperlink" Target="https://www.zakon.hr/cms.htm?id=19081" TargetMode="External"/><Relationship Id="rId33" Type="http://schemas.openxmlformats.org/officeDocument/2006/relationships/hyperlink" Target="https://www.zakon.hr/cms.htm?id=52057" TargetMode="External"/><Relationship Id="rId2" Type="http://schemas.openxmlformats.org/officeDocument/2006/relationships/settings" Target="settings.xml"/><Relationship Id="rId16" Type="http://schemas.openxmlformats.org/officeDocument/2006/relationships/hyperlink" Target="https://www.zakon.hr/cms.htm?id=52057" TargetMode="External"/><Relationship Id="rId20" Type="http://schemas.openxmlformats.org/officeDocument/2006/relationships/hyperlink" Target="https://www.zakon.hr/cms.htm?id=52057" TargetMode="External"/><Relationship Id="rId29" Type="http://schemas.openxmlformats.org/officeDocument/2006/relationships/hyperlink" Target="https://www.zakon.hr/cms.htm?id=19081" TargetMode="External"/><Relationship Id="rId1" Type="http://schemas.openxmlformats.org/officeDocument/2006/relationships/styles" Target="styles.xml"/><Relationship Id="rId6" Type="http://schemas.openxmlformats.org/officeDocument/2006/relationships/hyperlink" Target="https://www.zakon.hr/cms.htm?id=17861" TargetMode="External"/><Relationship Id="rId11" Type="http://schemas.openxmlformats.org/officeDocument/2006/relationships/hyperlink" Target="https://www.zakon.hr/cms.htm?id=52057" TargetMode="External"/><Relationship Id="rId24" Type="http://schemas.openxmlformats.org/officeDocument/2006/relationships/hyperlink" Target="https://www.zakon.hr/cms.htm?id=17861" TargetMode="External"/><Relationship Id="rId32" Type="http://schemas.openxmlformats.org/officeDocument/2006/relationships/hyperlink" Target="https://www.zakon.hr/cms.htm?id=52057" TargetMode="External"/><Relationship Id="rId5" Type="http://schemas.openxmlformats.org/officeDocument/2006/relationships/hyperlink" Target="http://www.zakon.hr/cms.htm?id=11324" TargetMode="External"/><Relationship Id="rId15" Type="http://schemas.openxmlformats.org/officeDocument/2006/relationships/hyperlink" Target="https://www.zakon.hr/cms.htm?id=52057" TargetMode="External"/><Relationship Id="rId23" Type="http://schemas.openxmlformats.org/officeDocument/2006/relationships/hyperlink" Target="https://www.zakon.hr/cms.htm?id=52057" TargetMode="External"/><Relationship Id="rId28" Type="http://schemas.openxmlformats.org/officeDocument/2006/relationships/hyperlink" Target="https://www.zakon.hr/cms.htm?id=52057" TargetMode="External"/><Relationship Id="rId10" Type="http://schemas.openxmlformats.org/officeDocument/2006/relationships/hyperlink" Target="https://www.zakon.hr/cms.htm?id=52057" TargetMode="External"/><Relationship Id="rId19" Type="http://schemas.openxmlformats.org/officeDocument/2006/relationships/image" Target="media/image1.jpeg"/><Relationship Id="rId31" Type="http://schemas.openxmlformats.org/officeDocument/2006/relationships/hyperlink" Target="https://www.zakon.hr/cms.htm?id=52057" TargetMode="External"/><Relationship Id="rId4" Type="http://schemas.openxmlformats.org/officeDocument/2006/relationships/hyperlink" Target="https://www.zakon.hr/cms.htm?id=2731" TargetMode="External"/><Relationship Id="rId9" Type="http://schemas.openxmlformats.org/officeDocument/2006/relationships/hyperlink" Target="https://www.zakon.hr/c/podzakonski-propis/540875/nn-79-2025-%2814.5.2025.%29%2C-pravilnik-o-izmjenama-pravilnika-o-elementima-i-kriterijima-za-izbor-kandidata-za-upis-u-i.-razred" TargetMode="External"/><Relationship Id="rId14" Type="http://schemas.openxmlformats.org/officeDocument/2006/relationships/hyperlink" Target="https://www.zakon.hr/cms.htm?id=52057" TargetMode="External"/><Relationship Id="rId22" Type="http://schemas.openxmlformats.org/officeDocument/2006/relationships/hyperlink" Target="https://www.zakon.hr/cms.htm?id=52057" TargetMode="External"/><Relationship Id="rId27" Type="http://schemas.openxmlformats.org/officeDocument/2006/relationships/hyperlink" Target="https://www.zakon.hr/cms.htm?id=19081" TargetMode="External"/><Relationship Id="rId30" Type="http://schemas.openxmlformats.org/officeDocument/2006/relationships/hyperlink" Target="https://www.zakon.hr/cms.htm?id=19081" TargetMode="External"/><Relationship Id="rId35" Type="http://schemas.openxmlformats.org/officeDocument/2006/relationships/theme" Target="theme/theme1.xml"/><Relationship Id="rId8" Type="http://schemas.openxmlformats.org/officeDocument/2006/relationships/hyperlink" Target="https://www.zakon.hr/cms.htm?id=52057"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5977</Words>
  <Characters>34071</Characters>
  <Application>Microsoft Office Word</Application>
  <DocSecurity>0</DocSecurity>
  <Lines>283</Lines>
  <Paragraphs>79</Paragraphs>
  <ScaleCrop>false</ScaleCrop>
  <Company/>
  <LinksUpToDate>false</LinksUpToDate>
  <CharactersWithSpaces>39969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Manin</dc:creator>
  <cp:keywords/>
  <dc:description/>
  <cp:lastModifiedBy>Biljana Manin</cp:lastModifiedBy>
  <cp:revision>2</cp:revision>
  <dcterms:created xsi:type="dcterms:W3CDTF">2026-05-15T17:18:00Z</dcterms:created>
  <dcterms:modified xsi:type="dcterms:W3CDTF">2026-05-15T17:19:00Z</dcterms:modified>
</cp:coreProperties>
</file>